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74BC" w14:textId="77777777" w:rsidR="00317227" w:rsidRPr="00F8470A" w:rsidRDefault="00317227" w:rsidP="00545935">
      <w:pPr>
        <w:tabs>
          <w:tab w:val="left" w:pos="1134"/>
          <w:tab w:val="left" w:pos="2342"/>
          <w:tab w:val="left" w:pos="4536"/>
          <w:tab w:val="right" w:pos="8789"/>
        </w:tabs>
        <w:spacing w:line="360" w:lineRule="auto"/>
        <w:jc w:val="center"/>
        <w:rPr>
          <w:rFonts w:cs="Arial"/>
          <w:b/>
          <w:bCs/>
          <w:szCs w:val="14"/>
        </w:rPr>
      </w:pPr>
    </w:p>
    <w:p w14:paraId="57CE7E6A" w14:textId="54676AE9" w:rsidR="00545935" w:rsidRPr="009C4DB2" w:rsidRDefault="00AD1719" w:rsidP="00317227">
      <w:pPr>
        <w:tabs>
          <w:tab w:val="left" w:pos="1134"/>
          <w:tab w:val="left" w:pos="2342"/>
          <w:tab w:val="left" w:pos="4536"/>
          <w:tab w:val="right" w:pos="8789"/>
        </w:tabs>
        <w:jc w:val="center"/>
        <w:rPr>
          <w:rFonts w:cs="Arial"/>
          <w:b/>
          <w:bCs/>
          <w:sz w:val="28"/>
        </w:rPr>
      </w:pPr>
      <w:r>
        <w:rPr>
          <w:rFonts w:cs="Arial"/>
          <w:b/>
          <w:bCs/>
          <w:sz w:val="28"/>
        </w:rPr>
        <w:t xml:space="preserve">ORDER – </w:t>
      </w:r>
      <w:r w:rsidR="00173506" w:rsidRPr="00AD1719">
        <w:rPr>
          <w:rFonts w:cs="Arial"/>
          <w:b/>
          <w:bCs/>
          <w:sz w:val="28"/>
        </w:rPr>
        <w:t xml:space="preserve"> </w:t>
      </w:r>
      <w:r w:rsidR="0068190B">
        <w:rPr>
          <w:rFonts w:cs="Arial"/>
          <w:b/>
          <w:bCs/>
          <w:sz w:val="28"/>
        </w:rPr>
        <w:t xml:space="preserve">ASSET CONFISCATION </w:t>
      </w:r>
      <w:r w:rsidR="002C6F55" w:rsidRPr="00AD1719">
        <w:rPr>
          <w:rFonts w:cs="Arial"/>
          <w:b/>
          <w:bCs/>
          <w:sz w:val="28"/>
        </w:rPr>
        <w:t>PRODUCTION ORDER</w:t>
      </w:r>
    </w:p>
    <w:p w14:paraId="1D79EEF0" w14:textId="0EB7AAD4" w:rsidR="006220DB" w:rsidRPr="0008390B" w:rsidRDefault="006220DB" w:rsidP="003210AD">
      <w:pPr>
        <w:tabs>
          <w:tab w:val="left" w:pos="1134"/>
          <w:tab w:val="left" w:pos="2342"/>
          <w:tab w:val="left" w:pos="4536"/>
          <w:tab w:val="right" w:pos="8789"/>
        </w:tabs>
        <w:spacing w:line="360" w:lineRule="auto"/>
        <w:jc w:val="center"/>
        <w:rPr>
          <w:rFonts w:cs="Arial"/>
          <w:b/>
          <w:bCs/>
        </w:rPr>
      </w:pPr>
    </w:p>
    <w:p w14:paraId="69D03CAF" w14:textId="6AD342E2" w:rsidR="006220DB" w:rsidRPr="009C4DB2" w:rsidRDefault="006220DB" w:rsidP="006220DB">
      <w:pPr>
        <w:tabs>
          <w:tab w:val="left" w:pos="1134"/>
          <w:tab w:val="left" w:pos="2342"/>
          <w:tab w:val="left" w:pos="4536"/>
          <w:tab w:val="right" w:pos="8789"/>
        </w:tabs>
        <w:rPr>
          <w:rFonts w:cs="Calibri"/>
          <w:bCs/>
        </w:rPr>
      </w:pPr>
      <w:bookmarkStart w:id="0" w:name="_Hlk31959557"/>
      <w:r w:rsidRPr="00497BAB">
        <w:rPr>
          <w:rFonts w:cs="Calibri"/>
        </w:rPr>
        <w:t>MAGISTRATES</w:t>
      </w:r>
      <w:r w:rsidRPr="009C4DB2">
        <w:rPr>
          <w:rFonts w:cs="Calibri"/>
          <w:b/>
          <w:sz w:val="12"/>
        </w:rPr>
        <w:t xml:space="preserve"> </w:t>
      </w:r>
      <w:r w:rsidRPr="009C4DB2">
        <w:rPr>
          <w:rFonts w:cs="Calibri"/>
          <w:iCs/>
        </w:rPr>
        <w:t xml:space="preserve">COURT </w:t>
      </w:r>
      <w:r w:rsidRPr="009C4DB2">
        <w:rPr>
          <w:rFonts w:cs="Calibri"/>
          <w:bCs/>
        </w:rPr>
        <w:t xml:space="preserve">OF SOUTH AUSTRALIA </w:t>
      </w:r>
    </w:p>
    <w:p w14:paraId="74B4FB0F" w14:textId="69811B41" w:rsidR="006220DB" w:rsidRPr="009C4DB2" w:rsidRDefault="008F3954" w:rsidP="006220DB">
      <w:pPr>
        <w:tabs>
          <w:tab w:val="left" w:pos="1134"/>
          <w:tab w:val="left" w:pos="2342"/>
          <w:tab w:val="left" w:pos="4536"/>
          <w:tab w:val="right" w:pos="8789"/>
        </w:tabs>
        <w:rPr>
          <w:rFonts w:cs="Calibri"/>
          <w:iCs/>
        </w:rPr>
      </w:pPr>
      <w:r>
        <w:rPr>
          <w:rFonts w:cs="Calibri"/>
          <w:iCs/>
        </w:rPr>
        <w:t xml:space="preserve">SPECIAL </w:t>
      </w:r>
      <w:r w:rsidR="00933AFB">
        <w:rPr>
          <w:rFonts w:cs="Calibri"/>
          <w:iCs/>
        </w:rPr>
        <w:t xml:space="preserve">STATUTORY </w:t>
      </w:r>
      <w:r w:rsidR="006220DB" w:rsidRPr="009C4DB2">
        <w:rPr>
          <w:rFonts w:cs="Calibri"/>
          <w:iCs/>
        </w:rPr>
        <w:t>JURISDICTION</w:t>
      </w:r>
    </w:p>
    <w:p w14:paraId="5E106775" w14:textId="77777777" w:rsidR="00B76F8B" w:rsidRPr="00F8470A" w:rsidRDefault="00B459F1" w:rsidP="000E41C6">
      <w:pPr>
        <w:tabs>
          <w:tab w:val="left" w:pos="1134"/>
          <w:tab w:val="left" w:pos="2342"/>
          <w:tab w:val="left" w:pos="4536"/>
          <w:tab w:val="right" w:pos="8789"/>
        </w:tabs>
        <w:spacing w:before="480"/>
        <w:rPr>
          <w:rFonts w:cs="Calibri"/>
          <w:b/>
        </w:rPr>
      </w:pPr>
      <w:bookmarkStart w:id="1" w:name="_Hlk39138649"/>
      <w:bookmarkEnd w:id="0"/>
      <w:r w:rsidRPr="00F8470A">
        <w:rPr>
          <w:rFonts w:cs="Calibri"/>
          <w:b/>
        </w:rPr>
        <w:t>[</w:t>
      </w:r>
      <w:r w:rsidRPr="00F8470A">
        <w:rPr>
          <w:rFonts w:cs="Calibri"/>
          <w:b/>
          <w:i/>
        </w:rPr>
        <w:t>FULL NAME</w:t>
      </w:r>
      <w:r w:rsidRPr="00F8470A">
        <w:rPr>
          <w:rFonts w:cs="Calibri"/>
          <w:b/>
        </w:rPr>
        <w:t>]</w:t>
      </w:r>
    </w:p>
    <w:p w14:paraId="66B6BAA1" w14:textId="2FB8A565" w:rsidR="00B76F8B" w:rsidRPr="009C4DB2" w:rsidRDefault="00B76F8B" w:rsidP="00F8470A">
      <w:pPr>
        <w:tabs>
          <w:tab w:val="left" w:pos="1134"/>
          <w:tab w:val="left" w:pos="2342"/>
          <w:tab w:val="left" w:pos="4536"/>
          <w:tab w:val="right" w:pos="8789"/>
        </w:tabs>
        <w:spacing w:after="720"/>
        <w:rPr>
          <w:rFonts w:cs="Calibri"/>
          <w:bCs/>
        </w:rPr>
      </w:pPr>
      <w:r w:rsidRPr="00F8470A">
        <w:rPr>
          <w:rFonts w:cs="Calibri"/>
          <w:b/>
        </w:rPr>
        <w:t>Applicant</w:t>
      </w:r>
      <w:bookmarkStart w:id="2" w:name="_Hlk39140678"/>
    </w:p>
    <w:tbl>
      <w:tblPr>
        <w:tblStyle w:val="TableGrid"/>
        <w:tblW w:w="5000" w:type="pct"/>
        <w:tblLook w:val="04A0" w:firstRow="1" w:lastRow="0" w:firstColumn="1" w:lastColumn="0" w:noHBand="0" w:noVBand="1"/>
      </w:tblPr>
      <w:tblGrid>
        <w:gridCol w:w="10457"/>
      </w:tblGrid>
      <w:tr w:rsidR="00AC6D34" w:rsidRPr="009C4DB2" w14:paraId="0CBB26DE" w14:textId="77777777" w:rsidTr="00F8470A">
        <w:trPr>
          <w:trHeight w:val="6959"/>
        </w:trPr>
        <w:tc>
          <w:tcPr>
            <w:tcW w:w="5000" w:type="pct"/>
          </w:tcPr>
          <w:bookmarkEnd w:id="1"/>
          <w:bookmarkEnd w:id="2"/>
          <w:p w14:paraId="0B22B1A5" w14:textId="7DA18BF0" w:rsidR="00AC6D34" w:rsidRPr="00317227" w:rsidRDefault="00AE7B6B" w:rsidP="00F8470A">
            <w:pPr>
              <w:spacing w:before="240" w:after="240" w:line="276" w:lineRule="auto"/>
              <w:ind w:right="142"/>
              <w:rPr>
                <w:rFonts w:cs="Arial"/>
                <w:b/>
                <w:sz w:val="22"/>
              </w:rPr>
            </w:pPr>
            <w:r>
              <w:rPr>
                <w:rFonts w:cs="Arial"/>
                <w:b/>
                <w:sz w:val="22"/>
              </w:rPr>
              <w:t>Introduction</w:t>
            </w:r>
          </w:p>
          <w:p w14:paraId="72EC8896" w14:textId="77777777" w:rsidR="00AC6D34" w:rsidRPr="009C4DB2" w:rsidRDefault="00AC6D34" w:rsidP="00F8470A">
            <w:pPr>
              <w:spacing w:before="240" w:line="276" w:lineRule="auto"/>
              <w:ind w:right="141"/>
              <w:rPr>
                <w:rFonts w:cs="Arial"/>
                <w:b/>
              </w:rPr>
            </w:pPr>
            <w:r w:rsidRPr="009C4DB2">
              <w:rPr>
                <w:rFonts w:cs="Arial"/>
                <w:b/>
              </w:rPr>
              <w:t>Hearing</w:t>
            </w:r>
          </w:p>
          <w:p w14:paraId="7740E77D" w14:textId="77777777" w:rsidR="00AC6D34" w:rsidRPr="009C4DB2" w:rsidRDefault="00AC6D34" w:rsidP="00F8470A">
            <w:pPr>
              <w:widowControl w:val="0"/>
              <w:spacing w:before="120" w:line="276" w:lineRule="auto"/>
              <w:jc w:val="left"/>
              <w:rPr>
                <w:rFonts w:cs="Arial"/>
                <w:i/>
              </w:rPr>
            </w:pPr>
            <w:r w:rsidRPr="009C4DB2">
              <w:rPr>
                <w:rFonts w:cs="Arial"/>
              </w:rPr>
              <w:t>Hearing Location: [</w:t>
            </w:r>
            <w:r w:rsidRPr="009C4DB2">
              <w:rPr>
                <w:rFonts w:cs="Arial"/>
                <w:i/>
              </w:rPr>
              <w:t>suburb</w:t>
            </w:r>
            <w:r w:rsidRPr="009C4DB2">
              <w:rPr>
                <w:rFonts w:cs="Arial"/>
              </w:rPr>
              <w:t>]</w:t>
            </w:r>
          </w:p>
          <w:p w14:paraId="108B91BB" w14:textId="07DBC063" w:rsidR="00AC6D34" w:rsidRPr="009C4DB2" w:rsidRDefault="00AC6D34" w:rsidP="00F8470A">
            <w:pPr>
              <w:widowControl w:val="0"/>
              <w:spacing w:line="276" w:lineRule="auto"/>
              <w:jc w:val="left"/>
              <w:rPr>
                <w:rFonts w:eastAsia="Arial" w:cs="Arial"/>
              </w:rPr>
            </w:pPr>
            <w:r w:rsidRPr="009C4DB2">
              <w:rPr>
                <w:rFonts w:eastAsia="Arial" w:cs="Arial"/>
              </w:rPr>
              <w:t>[</w:t>
            </w:r>
            <w:r w:rsidRPr="009C4DB2">
              <w:rPr>
                <w:rFonts w:eastAsia="Arial" w:cs="Arial"/>
                <w:i/>
              </w:rPr>
              <w:t>Hearing date</w:t>
            </w:r>
            <w:r w:rsidRPr="009C4DB2">
              <w:rPr>
                <w:rFonts w:eastAsia="Arial" w:cs="Arial"/>
              </w:rPr>
              <w:t xml:space="preserve">] </w:t>
            </w:r>
          </w:p>
          <w:p w14:paraId="55626D60" w14:textId="77777777" w:rsidR="00AC6D34" w:rsidRPr="009C4DB2" w:rsidRDefault="00AC6D34" w:rsidP="00F8470A">
            <w:pPr>
              <w:spacing w:before="240" w:line="276" w:lineRule="auto"/>
              <w:ind w:right="141"/>
              <w:rPr>
                <w:rFonts w:eastAsia="Arial" w:cs="Arial"/>
              </w:rPr>
            </w:pPr>
            <w:r w:rsidRPr="009C4DB2">
              <w:rPr>
                <w:rFonts w:eastAsia="Arial" w:cs="Arial"/>
              </w:rPr>
              <w:t>[</w:t>
            </w:r>
            <w:r w:rsidRPr="009C4DB2">
              <w:rPr>
                <w:rFonts w:eastAsia="Arial" w:cs="Arial"/>
                <w:i/>
              </w:rPr>
              <w:t>Presiding Officer</w:t>
            </w:r>
            <w:r w:rsidRPr="009C4DB2">
              <w:rPr>
                <w:rFonts w:eastAsia="Arial" w:cs="Arial"/>
              </w:rPr>
              <w:t>]</w:t>
            </w:r>
          </w:p>
          <w:p w14:paraId="3C0AEFCA" w14:textId="77777777" w:rsidR="00AC6D34" w:rsidRPr="009C4DB2" w:rsidRDefault="00AC6D34" w:rsidP="00F8470A">
            <w:pPr>
              <w:widowControl w:val="0"/>
              <w:spacing w:before="240" w:after="120" w:line="276" w:lineRule="auto"/>
              <w:rPr>
                <w:rFonts w:cs="Arial"/>
                <w:b/>
              </w:rPr>
            </w:pPr>
            <w:r w:rsidRPr="009C4DB2">
              <w:rPr>
                <w:rFonts w:cs="Arial"/>
                <w:b/>
              </w:rPr>
              <w:t>Appearances</w:t>
            </w:r>
          </w:p>
          <w:p w14:paraId="0A9DF227" w14:textId="4EF1A396" w:rsidR="00AC6D34" w:rsidRPr="009C4DB2" w:rsidRDefault="00AC6D34" w:rsidP="00F8470A">
            <w:pPr>
              <w:widowControl w:val="0"/>
              <w:spacing w:line="276" w:lineRule="auto"/>
              <w:jc w:val="left"/>
              <w:rPr>
                <w:rFonts w:cs="Arial"/>
              </w:rPr>
            </w:pPr>
            <w:r w:rsidRPr="009C4DB2">
              <w:rPr>
                <w:rFonts w:cs="Arial"/>
              </w:rPr>
              <w:t>[</w:t>
            </w:r>
            <w:r w:rsidRPr="009C4DB2">
              <w:rPr>
                <w:rFonts w:cs="Arial"/>
                <w:i/>
              </w:rPr>
              <w:t>Applicant Appearance Information</w:t>
            </w:r>
            <w:r w:rsidRPr="009C4DB2">
              <w:rPr>
                <w:rFonts w:cs="Arial"/>
              </w:rPr>
              <w:t>]</w:t>
            </w:r>
          </w:p>
          <w:p w14:paraId="7DF3DB5D" w14:textId="6E0C6D61" w:rsidR="00AC6D34" w:rsidRPr="009C4DB2" w:rsidRDefault="00AE7B6B" w:rsidP="00F8470A">
            <w:pPr>
              <w:spacing w:before="240" w:after="120" w:line="276" w:lineRule="auto"/>
              <w:rPr>
                <w:rFonts w:cs="Arial"/>
                <w:b/>
              </w:rPr>
            </w:pPr>
            <w:r>
              <w:rPr>
                <w:rFonts w:cs="Arial"/>
                <w:b/>
              </w:rPr>
              <w:t>Remarks</w:t>
            </w:r>
          </w:p>
          <w:p w14:paraId="0F337D58" w14:textId="1CC740B3" w:rsidR="00AC6D34" w:rsidRDefault="00AC6D34" w:rsidP="00F8470A">
            <w:pPr>
              <w:widowControl w:val="0"/>
              <w:spacing w:after="120" w:line="276" w:lineRule="auto"/>
              <w:jc w:val="left"/>
              <w:rPr>
                <w:rFonts w:cs="Arial"/>
              </w:rPr>
            </w:pPr>
            <w:r>
              <w:rPr>
                <w:rFonts w:cs="Arial"/>
              </w:rPr>
              <w:t xml:space="preserve">The </w:t>
            </w:r>
            <w:r w:rsidR="003B7563">
              <w:rPr>
                <w:rFonts w:cs="Arial"/>
              </w:rPr>
              <w:t>Magistrate</w:t>
            </w:r>
            <w:r>
              <w:rPr>
                <w:rFonts w:cs="Arial"/>
              </w:rPr>
              <w:t xml:space="preserve"> is satisfied that:</w:t>
            </w:r>
          </w:p>
          <w:p w14:paraId="455C4481" w14:textId="70AF6036" w:rsidR="00AC6D34" w:rsidRPr="001C4EF4" w:rsidRDefault="00AC6D34" w:rsidP="00F8470A">
            <w:pPr>
              <w:widowControl w:val="0"/>
              <w:spacing w:after="120" w:line="276" w:lineRule="auto"/>
              <w:ind w:left="1018" w:hanging="425"/>
              <w:jc w:val="left"/>
              <w:rPr>
                <w:rFonts w:cs="Arial"/>
              </w:rPr>
            </w:pPr>
            <w:r>
              <w:rPr>
                <w:rFonts w:cs="Arial"/>
              </w:rPr>
              <w:t>(a)</w:t>
            </w:r>
            <w:r>
              <w:rPr>
                <w:rFonts w:cs="Arial"/>
              </w:rPr>
              <w:tab/>
              <w:t>the Applicant has made an A</w:t>
            </w:r>
            <w:r w:rsidRPr="001C4EF4">
              <w:rPr>
                <w:rFonts w:cs="Arial"/>
              </w:rPr>
              <w:t xml:space="preserve">pplication under </w:t>
            </w:r>
            <w:r w:rsidR="0040414B">
              <w:rPr>
                <w:rFonts w:cs="Arial"/>
              </w:rPr>
              <w:t>[</w:t>
            </w:r>
            <w:r w:rsidRPr="0040414B">
              <w:rPr>
                <w:rFonts w:cs="Arial"/>
                <w:i/>
              </w:rPr>
              <w:t>section 150 of the Criminal Assets</w:t>
            </w:r>
            <w:r w:rsidRPr="001C4EF4">
              <w:rPr>
                <w:rFonts w:cs="Arial"/>
                <w:i/>
              </w:rPr>
              <w:t xml:space="preserve"> Confiscation Act 2005</w:t>
            </w:r>
            <w:r w:rsidR="0040414B">
              <w:rPr>
                <w:rFonts w:cs="Arial"/>
                <w:i/>
              </w:rPr>
              <w:t>/</w:t>
            </w:r>
            <w:r w:rsidR="0040414B" w:rsidRPr="0040414B">
              <w:rPr>
                <w:i/>
              </w:rPr>
              <w:t>section 202 of the Proceeds of Crime Act 2002 (</w:t>
            </w:r>
            <w:proofErr w:type="spellStart"/>
            <w:r w:rsidR="0040414B" w:rsidRPr="0040414B">
              <w:rPr>
                <w:i/>
              </w:rPr>
              <w:t>Cth</w:t>
            </w:r>
            <w:proofErr w:type="spellEnd"/>
            <w:r w:rsidR="0040414B" w:rsidRPr="0040414B">
              <w:rPr>
                <w:i/>
              </w:rPr>
              <w:t>)</w:t>
            </w:r>
            <w:r w:rsidR="0040414B">
              <w:t>]</w:t>
            </w:r>
            <w:r w:rsidRPr="001C4EF4">
              <w:rPr>
                <w:rFonts w:cs="Arial"/>
              </w:rPr>
              <w:t xml:space="preserve"> dated [</w:t>
            </w:r>
            <w:r w:rsidRPr="001C4EF4">
              <w:rPr>
                <w:rFonts w:cs="Arial"/>
                <w:i/>
              </w:rPr>
              <w:t>date</w:t>
            </w:r>
            <w:r w:rsidRPr="001C4EF4">
              <w:rPr>
                <w:rFonts w:cs="Arial"/>
              </w:rPr>
              <w:t xml:space="preserve">] for an </w:t>
            </w:r>
            <w:r>
              <w:rPr>
                <w:rFonts w:cs="Arial"/>
              </w:rPr>
              <w:t>o</w:t>
            </w:r>
            <w:r w:rsidRPr="001C4EF4">
              <w:rPr>
                <w:rFonts w:cs="Arial"/>
              </w:rPr>
              <w:t>rder for [</w:t>
            </w:r>
            <w:r w:rsidRPr="001C4EF4">
              <w:rPr>
                <w:rFonts w:cs="Arial"/>
                <w:i/>
              </w:rPr>
              <w:t>production/inspection</w:t>
            </w:r>
            <w:r w:rsidRPr="001C4EF4">
              <w:rPr>
                <w:rFonts w:cs="Arial"/>
              </w:rPr>
              <w:t xml:space="preserve">] </w:t>
            </w:r>
            <w:r>
              <w:rPr>
                <w:rFonts w:cs="Arial"/>
              </w:rPr>
              <w:t xml:space="preserve">of </w:t>
            </w:r>
            <w:r w:rsidRPr="001C4EF4">
              <w:rPr>
                <w:rFonts w:cs="Arial"/>
              </w:rPr>
              <w:t xml:space="preserve">the documents described in the schedule to this </w:t>
            </w:r>
            <w:r>
              <w:rPr>
                <w:rFonts w:cs="Arial"/>
              </w:rPr>
              <w:t>o</w:t>
            </w:r>
            <w:r w:rsidRPr="001C4EF4">
              <w:rPr>
                <w:rFonts w:cs="Arial"/>
              </w:rPr>
              <w:t>rder (‘the Documents’).</w:t>
            </w:r>
          </w:p>
          <w:p w14:paraId="7FBCD0CA" w14:textId="48457434" w:rsidR="00AC6D34" w:rsidRDefault="00AC6D34" w:rsidP="00F8470A">
            <w:pPr>
              <w:widowControl w:val="0"/>
              <w:spacing w:after="120" w:line="276" w:lineRule="auto"/>
              <w:ind w:left="1018" w:hanging="425"/>
              <w:jc w:val="left"/>
            </w:pPr>
            <w:r w:rsidRPr="001C4EF4">
              <w:rPr>
                <w:rFonts w:cs="Arial"/>
              </w:rPr>
              <w:t>(b)</w:t>
            </w:r>
            <w:r w:rsidRPr="001C4EF4">
              <w:rPr>
                <w:rFonts w:cs="Arial"/>
              </w:rPr>
              <w:tab/>
              <w:t>based on information given [</w:t>
            </w:r>
            <w:r w:rsidRPr="00405F34">
              <w:rPr>
                <w:rFonts w:cs="Arial"/>
                <w:i/>
              </w:rPr>
              <w:t>on</w:t>
            </w:r>
            <w:r>
              <w:rPr>
                <w:rFonts w:cs="Arial"/>
              </w:rPr>
              <w:t xml:space="preserve"> </w:t>
            </w:r>
            <w:r w:rsidRPr="00405F34">
              <w:rPr>
                <w:rFonts w:cs="Arial"/>
                <w:i/>
              </w:rPr>
              <w:t>oath/</w:t>
            </w:r>
            <w:r>
              <w:rPr>
                <w:rFonts w:cs="Arial"/>
                <w:i/>
              </w:rPr>
              <w:t xml:space="preserve">by </w:t>
            </w:r>
            <w:r w:rsidRPr="00405F34">
              <w:rPr>
                <w:rFonts w:cs="Arial"/>
                <w:i/>
              </w:rPr>
              <w:t>affirmation</w:t>
            </w:r>
            <w:r w:rsidRPr="001C4EF4">
              <w:rPr>
                <w:rFonts w:cs="Arial"/>
              </w:rPr>
              <w:t>] [</w:t>
            </w:r>
            <w:r w:rsidRPr="00405F34">
              <w:rPr>
                <w:rFonts w:cs="Arial"/>
                <w:i/>
              </w:rPr>
              <w:t>by/on behalf of</w:t>
            </w:r>
            <w:r w:rsidRPr="001C4EF4">
              <w:rPr>
                <w:rFonts w:cs="Arial"/>
              </w:rPr>
              <w:t xml:space="preserve">] the Applicant, </w:t>
            </w:r>
            <w:r w:rsidR="00A00A6F">
              <w:rPr>
                <w:rFonts w:cs="Arial"/>
              </w:rPr>
              <w:t>[</w:t>
            </w:r>
            <w:r w:rsidR="00A00A6F" w:rsidRPr="00A00A6F">
              <w:rPr>
                <w:rFonts w:cs="Arial"/>
                <w:i/>
                <w:iCs/>
              </w:rPr>
              <w:t>name</w:t>
            </w:r>
            <w:r w:rsidR="00A00A6F">
              <w:rPr>
                <w:rFonts w:cs="Arial"/>
              </w:rPr>
              <w:t>] of [</w:t>
            </w:r>
            <w:r w:rsidR="00A00A6F" w:rsidRPr="00A00A6F">
              <w:rPr>
                <w:rFonts w:cs="Arial"/>
                <w:i/>
                <w:iCs/>
              </w:rPr>
              <w:t>address</w:t>
            </w:r>
            <w:r w:rsidR="00A00A6F">
              <w:rPr>
                <w:rFonts w:cs="Arial"/>
              </w:rPr>
              <w:t xml:space="preserve">] (‘the Subject’) </w:t>
            </w:r>
            <w:proofErr w:type="gramStart"/>
            <w:r w:rsidRPr="001C4EF4">
              <w:rPr>
                <w:rFonts w:cs="Arial"/>
              </w:rPr>
              <w:t xml:space="preserve">the </w:t>
            </w:r>
            <w:r>
              <w:rPr>
                <w:rFonts w:cs="Arial"/>
              </w:rPr>
              <w:t xml:space="preserve"> </w:t>
            </w:r>
            <w:r w:rsidRPr="001C4EF4">
              <w:rPr>
                <w:rFonts w:cs="Arial"/>
              </w:rPr>
              <w:t>is</w:t>
            </w:r>
            <w:proofErr w:type="gramEnd"/>
            <w:r w:rsidRPr="001C4EF4">
              <w:rPr>
                <w:rFonts w:cs="Arial"/>
              </w:rPr>
              <w:t xml:space="preserve"> reasonably suspected of having possession or control</w:t>
            </w:r>
            <w:r>
              <w:rPr>
                <w:rFonts w:cs="Arial"/>
              </w:rPr>
              <w:t xml:space="preserve"> of the Documents and that the D</w:t>
            </w:r>
            <w:r w:rsidRPr="001C4EF4">
              <w:rPr>
                <w:rFonts w:cs="Arial"/>
              </w:rPr>
              <w:t xml:space="preserve">ocuments comprise property-tracking documents within the meaning of </w:t>
            </w:r>
            <w:r w:rsidR="0040414B">
              <w:rPr>
                <w:rFonts w:cs="Arial"/>
              </w:rPr>
              <w:t>[</w:t>
            </w:r>
            <w:r w:rsidR="0040414B">
              <w:rPr>
                <w:rFonts w:cs="Arial"/>
                <w:i/>
              </w:rPr>
              <w:t>section 149</w:t>
            </w:r>
            <w:r w:rsidR="0040414B" w:rsidRPr="0040414B">
              <w:rPr>
                <w:rFonts w:cs="Arial"/>
                <w:i/>
              </w:rPr>
              <w:t xml:space="preserve"> of the Criminal Assets</w:t>
            </w:r>
            <w:r w:rsidR="0040414B" w:rsidRPr="001C4EF4">
              <w:rPr>
                <w:rFonts w:cs="Arial"/>
                <w:i/>
              </w:rPr>
              <w:t xml:space="preserve"> Confiscation Act 2005</w:t>
            </w:r>
            <w:r w:rsidR="0040414B">
              <w:rPr>
                <w:rFonts w:cs="Arial"/>
                <w:i/>
              </w:rPr>
              <w:t>/</w:t>
            </w:r>
            <w:r w:rsidR="0040414B" w:rsidRPr="0040414B">
              <w:rPr>
                <w:i/>
              </w:rPr>
              <w:t>sectio</w:t>
            </w:r>
            <w:r w:rsidR="0040414B">
              <w:rPr>
                <w:i/>
              </w:rPr>
              <w:t>n 201</w:t>
            </w:r>
            <w:r w:rsidR="0040414B" w:rsidRPr="0040414B">
              <w:rPr>
                <w:i/>
              </w:rPr>
              <w:t xml:space="preserve"> of the Proceeds of Crime Act 2002 (</w:t>
            </w:r>
            <w:proofErr w:type="spellStart"/>
            <w:r w:rsidR="0040414B" w:rsidRPr="0040414B">
              <w:rPr>
                <w:i/>
              </w:rPr>
              <w:t>Cth</w:t>
            </w:r>
            <w:proofErr w:type="spellEnd"/>
            <w:r w:rsidR="0040414B" w:rsidRPr="0040414B">
              <w:rPr>
                <w:i/>
              </w:rPr>
              <w:t>)</w:t>
            </w:r>
            <w:r w:rsidR="0040414B">
              <w:t>].</w:t>
            </w:r>
          </w:p>
          <w:p w14:paraId="1C570729" w14:textId="15EAD5A2" w:rsidR="008A6D74" w:rsidRPr="001C4EF4" w:rsidRDefault="008A6D74" w:rsidP="00F8470A">
            <w:pPr>
              <w:widowControl w:val="0"/>
              <w:spacing w:after="120" w:line="276" w:lineRule="auto"/>
              <w:ind w:left="1018" w:hanging="425"/>
              <w:jc w:val="left"/>
              <w:rPr>
                <w:rFonts w:cs="Arial"/>
              </w:rPr>
            </w:pPr>
            <w:r>
              <w:rPr>
                <w:rFonts w:cs="Arial"/>
              </w:rPr>
              <w:t>(c)</w:t>
            </w:r>
            <w:r>
              <w:rPr>
                <w:rFonts w:cs="Arial"/>
              </w:rPr>
              <w:tab/>
              <w:t>the Documents are “property-tracking documents’ within the meaning of [</w:t>
            </w:r>
            <w:r w:rsidRPr="0040414B">
              <w:rPr>
                <w:rFonts w:cs="Arial"/>
                <w:i/>
              </w:rPr>
              <w:t>section 1</w:t>
            </w:r>
            <w:r>
              <w:rPr>
                <w:rFonts w:cs="Arial"/>
                <w:i/>
              </w:rPr>
              <w:t>49</w:t>
            </w:r>
            <w:r w:rsidRPr="0040414B">
              <w:rPr>
                <w:rFonts w:cs="Arial"/>
                <w:i/>
              </w:rPr>
              <w:t xml:space="preserve"> of the Criminal Assets</w:t>
            </w:r>
            <w:r w:rsidRPr="001C4EF4">
              <w:rPr>
                <w:rFonts w:cs="Arial"/>
                <w:i/>
              </w:rPr>
              <w:t xml:space="preserve"> Confiscation Act 2005</w:t>
            </w:r>
            <w:r>
              <w:rPr>
                <w:rFonts w:cs="Arial"/>
                <w:i/>
              </w:rPr>
              <w:t>/</w:t>
            </w:r>
            <w:r w:rsidRPr="0040414B">
              <w:rPr>
                <w:i/>
              </w:rPr>
              <w:t>section 20</w:t>
            </w:r>
            <w:r>
              <w:rPr>
                <w:i/>
              </w:rPr>
              <w:t>2(5)</w:t>
            </w:r>
            <w:r w:rsidRPr="0040414B">
              <w:rPr>
                <w:i/>
              </w:rPr>
              <w:t xml:space="preserve"> of the Proceeds of Crime Act 2002 (</w:t>
            </w:r>
            <w:proofErr w:type="spellStart"/>
            <w:r w:rsidRPr="0040414B">
              <w:rPr>
                <w:i/>
              </w:rPr>
              <w:t>Cth</w:t>
            </w:r>
            <w:proofErr w:type="spellEnd"/>
            <w:r w:rsidRPr="0040414B">
              <w:rPr>
                <w:i/>
              </w:rPr>
              <w:t>)</w:t>
            </w:r>
            <w:r>
              <w:t>]</w:t>
            </w:r>
            <w:r w:rsidRPr="001C4EF4">
              <w:rPr>
                <w:rFonts w:cs="Arial"/>
              </w:rPr>
              <w:t xml:space="preserve"> </w:t>
            </w:r>
            <w:r>
              <w:rPr>
                <w:rFonts w:cs="Arial"/>
              </w:rPr>
              <w:t xml:space="preserve"> </w:t>
            </w:r>
          </w:p>
          <w:p w14:paraId="3E2E2E83" w14:textId="3E5D526B" w:rsidR="00D767E0" w:rsidRPr="00D767E0" w:rsidRDefault="00AC6D34" w:rsidP="00F8470A">
            <w:pPr>
              <w:pStyle w:val="ListParagraph"/>
              <w:widowControl w:val="0"/>
              <w:numPr>
                <w:ilvl w:val="0"/>
                <w:numId w:val="10"/>
              </w:numPr>
              <w:tabs>
                <w:tab w:val="left" w:pos="593"/>
              </w:tabs>
              <w:spacing w:after="120" w:line="276" w:lineRule="auto"/>
              <w:ind w:left="1018" w:hanging="850"/>
              <w:jc w:val="left"/>
              <w:rPr>
                <w:rFonts w:cs="Arial"/>
              </w:rPr>
            </w:pPr>
            <w:r w:rsidRPr="00AC6D34">
              <w:rPr>
                <w:rFonts w:cs="Arial"/>
              </w:rPr>
              <w:t>(</w:t>
            </w:r>
            <w:r w:rsidR="008A6D74">
              <w:rPr>
                <w:rFonts w:cs="Arial"/>
              </w:rPr>
              <w:t>d</w:t>
            </w:r>
            <w:r w:rsidRPr="00AC6D34">
              <w:rPr>
                <w:rFonts w:cs="Arial"/>
              </w:rPr>
              <w:t>)</w:t>
            </w:r>
            <w:r w:rsidRPr="00AC6D34">
              <w:rPr>
                <w:rFonts w:cs="Arial"/>
              </w:rPr>
              <w:tab/>
              <w:t>requiring the Documents to be [</w:t>
            </w:r>
            <w:r w:rsidRPr="00AC6D34">
              <w:rPr>
                <w:rFonts w:cs="Arial"/>
                <w:i/>
              </w:rPr>
              <w:t>produced/made available for inspection</w:t>
            </w:r>
            <w:r w:rsidRPr="00AC6D34">
              <w:rPr>
                <w:rFonts w:cs="Arial"/>
              </w:rPr>
              <w:t>] on the date specified below</w:t>
            </w:r>
            <w:r w:rsidR="008A6D74">
              <w:rPr>
                <w:rFonts w:cs="Arial"/>
              </w:rPr>
              <w:t>,</w:t>
            </w:r>
            <w:r w:rsidRPr="00AC6D34">
              <w:rPr>
                <w:rFonts w:cs="Arial"/>
              </w:rPr>
              <w:t xml:space="preserve"> being less than 14</w:t>
            </w:r>
            <w:r>
              <w:rPr>
                <w:rFonts w:cs="Arial"/>
              </w:rPr>
              <w:t xml:space="preserve"> days after the making of this o</w:t>
            </w:r>
            <w:r w:rsidRPr="00AC6D34">
              <w:rPr>
                <w:rFonts w:cs="Arial"/>
              </w:rPr>
              <w:t>rder</w:t>
            </w:r>
            <w:r w:rsidR="008A6D74">
              <w:rPr>
                <w:rFonts w:cs="Arial"/>
              </w:rPr>
              <w:t>,</w:t>
            </w:r>
            <w:r w:rsidRPr="00AC6D34">
              <w:rPr>
                <w:rFonts w:cs="Arial"/>
              </w:rPr>
              <w:t xml:space="preserve"> will not cause hardship to the </w:t>
            </w:r>
            <w:r w:rsidR="00A00A6F">
              <w:rPr>
                <w:rFonts w:cs="Arial"/>
              </w:rPr>
              <w:t>Subject</w:t>
            </w:r>
            <w:r w:rsidRPr="00AC6D34">
              <w:rPr>
                <w:rFonts w:cs="Arial"/>
              </w:rPr>
              <w:t xml:space="preserve">. </w:t>
            </w:r>
          </w:p>
        </w:tc>
      </w:tr>
    </w:tbl>
    <w:p w14:paraId="18C386DC" w14:textId="3CFFD684" w:rsidR="00D767E0" w:rsidRPr="009C4DB2" w:rsidRDefault="003210AD" w:rsidP="00EF6C80">
      <w:pPr>
        <w:overflowPunct/>
        <w:autoSpaceDE/>
        <w:autoSpaceDN/>
        <w:adjustRightInd/>
        <w:spacing w:after="160" w:line="259" w:lineRule="auto"/>
        <w:jc w:val="left"/>
        <w:textAlignment w:val="auto"/>
      </w:pPr>
      <w:r>
        <w:br w:type="page"/>
      </w:r>
    </w:p>
    <w:tbl>
      <w:tblPr>
        <w:tblStyle w:val="TableGrid"/>
        <w:tblW w:w="5000" w:type="pct"/>
        <w:tblLook w:val="04A0" w:firstRow="1" w:lastRow="0" w:firstColumn="1" w:lastColumn="0" w:noHBand="0" w:noVBand="1"/>
      </w:tblPr>
      <w:tblGrid>
        <w:gridCol w:w="10457"/>
      </w:tblGrid>
      <w:tr w:rsidR="00173506" w:rsidRPr="009C4DB2" w14:paraId="79C6E069" w14:textId="77777777" w:rsidTr="000B487D">
        <w:tc>
          <w:tcPr>
            <w:tcW w:w="5000" w:type="pct"/>
          </w:tcPr>
          <w:p w14:paraId="25A6593C" w14:textId="77777777" w:rsidR="00AC6D34" w:rsidRPr="00AC6D34" w:rsidRDefault="00AC6D34" w:rsidP="00F8470A">
            <w:pPr>
              <w:spacing w:before="240" w:after="240" w:line="276" w:lineRule="auto"/>
              <w:rPr>
                <w:rFonts w:cs="Arial"/>
                <w:b/>
                <w:sz w:val="22"/>
              </w:rPr>
            </w:pPr>
            <w:r w:rsidRPr="00AC6D34">
              <w:rPr>
                <w:rFonts w:cs="Arial"/>
                <w:b/>
                <w:sz w:val="22"/>
              </w:rPr>
              <w:lastRenderedPageBreak/>
              <w:t>Order</w:t>
            </w:r>
          </w:p>
          <w:p w14:paraId="79BA2344" w14:textId="77777777" w:rsidR="00AC6D34" w:rsidRPr="00AC6D34" w:rsidRDefault="00AC6D34" w:rsidP="00F8470A">
            <w:pPr>
              <w:spacing w:before="240" w:after="240" w:line="276" w:lineRule="auto"/>
              <w:rPr>
                <w:rFonts w:cs="Arial"/>
                <w:b/>
              </w:rPr>
            </w:pPr>
            <w:r w:rsidRPr="00AC6D34">
              <w:rPr>
                <w:rFonts w:cs="Arial"/>
                <w:b/>
              </w:rPr>
              <w:t xml:space="preserve">Date of Order: </w:t>
            </w:r>
            <w:r w:rsidRPr="00AC6D34">
              <w:rPr>
                <w:rFonts w:cs="Arial"/>
              </w:rPr>
              <w:t>[</w:t>
            </w:r>
            <w:r w:rsidRPr="00AC6D34">
              <w:rPr>
                <w:rFonts w:cs="Arial"/>
                <w:i/>
              </w:rPr>
              <w:t>date</w:t>
            </w:r>
            <w:r w:rsidRPr="00AC6D34">
              <w:rPr>
                <w:rFonts w:cs="Arial"/>
              </w:rPr>
              <w:t>]</w:t>
            </w:r>
          </w:p>
          <w:p w14:paraId="635AA629" w14:textId="74E7EB0D" w:rsidR="00AC6D34" w:rsidRDefault="00AC6D34" w:rsidP="00F8470A">
            <w:pPr>
              <w:spacing w:before="240" w:after="120" w:line="276" w:lineRule="auto"/>
              <w:rPr>
                <w:rFonts w:cs="Arial"/>
                <w:b/>
              </w:rPr>
            </w:pPr>
            <w:r w:rsidRPr="00AC6D34">
              <w:rPr>
                <w:rFonts w:cs="Arial"/>
                <w:b/>
              </w:rPr>
              <w:t>Orders</w:t>
            </w:r>
          </w:p>
          <w:p w14:paraId="33191F43" w14:textId="77777777" w:rsidR="00173506" w:rsidRPr="009C4DB2" w:rsidRDefault="00637720" w:rsidP="00F8470A">
            <w:pPr>
              <w:widowControl w:val="0"/>
              <w:spacing w:before="120" w:line="276" w:lineRule="auto"/>
              <w:jc w:val="left"/>
              <w:rPr>
                <w:rFonts w:cs="Arial"/>
              </w:rPr>
            </w:pPr>
            <w:r>
              <w:rPr>
                <w:rFonts w:cs="Arial"/>
              </w:rPr>
              <w:t>I</w:t>
            </w:r>
            <w:r w:rsidR="003D011A">
              <w:rPr>
                <w:rFonts w:cs="Arial"/>
              </w:rPr>
              <w:t xml:space="preserve">t is </w:t>
            </w:r>
            <w:r w:rsidR="00173506" w:rsidRPr="009C4DB2">
              <w:rPr>
                <w:rFonts w:cs="Arial"/>
              </w:rPr>
              <w:t>ordered that:</w:t>
            </w:r>
          </w:p>
          <w:p w14:paraId="65D1127F" w14:textId="77777777" w:rsidR="00173506" w:rsidRPr="009C4DB2" w:rsidRDefault="00173506" w:rsidP="00F8470A">
            <w:pPr>
              <w:spacing w:after="120" w:line="276" w:lineRule="auto"/>
              <w:rPr>
                <w:rFonts w:cs="Arial"/>
                <w:b/>
                <w:sz w:val="12"/>
                <w:szCs w:val="12"/>
              </w:rPr>
            </w:pPr>
            <w:r w:rsidRPr="009C4DB2">
              <w:rPr>
                <w:rFonts w:eastAsia="Arial" w:cs="Arial"/>
                <w:b/>
                <w:sz w:val="12"/>
                <w:szCs w:val="12"/>
              </w:rPr>
              <w:t>Orders in separately numbered paragraphs.</w:t>
            </w:r>
          </w:p>
          <w:p w14:paraId="20BF8514" w14:textId="4ABBBA8B" w:rsidR="00637720" w:rsidRDefault="00BB2C1E" w:rsidP="00F8470A">
            <w:pPr>
              <w:tabs>
                <w:tab w:val="left" w:pos="593"/>
              </w:tabs>
              <w:spacing w:after="120" w:line="276" w:lineRule="auto"/>
              <w:ind w:left="877" w:hanging="426"/>
              <w:rPr>
                <w:rFonts w:cs="Arial"/>
              </w:rPr>
            </w:pPr>
            <w:r>
              <w:rPr>
                <w:rFonts w:cs="Arial"/>
              </w:rPr>
              <w:t>1.</w:t>
            </w:r>
            <w:r>
              <w:rPr>
                <w:rFonts w:cs="Arial"/>
              </w:rPr>
              <w:tab/>
            </w:r>
            <w:r w:rsidR="00637720">
              <w:rPr>
                <w:rFonts w:cs="Arial"/>
              </w:rPr>
              <w:t xml:space="preserve">The </w:t>
            </w:r>
            <w:r w:rsidR="00A00A6F">
              <w:rPr>
                <w:rFonts w:cs="Arial"/>
              </w:rPr>
              <w:t>Subject</w:t>
            </w:r>
            <w:r w:rsidR="00637720">
              <w:rPr>
                <w:rFonts w:cs="Arial"/>
              </w:rPr>
              <w:t xml:space="preserve"> </w:t>
            </w:r>
            <w:r w:rsidR="00A00A6F">
              <w:rPr>
                <w:rFonts w:cs="Arial"/>
              </w:rPr>
              <w:t>must</w:t>
            </w:r>
            <w:r w:rsidR="00637720">
              <w:rPr>
                <w:rFonts w:cs="Arial"/>
              </w:rPr>
              <w:t xml:space="preserve"> </w:t>
            </w:r>
            <w:r w:rsidR="00637720" w:rsidRPr="00637720">
              <w:rPr>
                <w:rFonts w:cs="Arial"/>
              </w:rPr>
              <w:t>[</w:t>
            </w:r>
            <w:r w:rsidR="00637720" w:rsidRPr="00637720">
              <w:rPr>
                <w:rFonts w:cs="Arial"/>
                <w:i/>
              </w:rPr>
              <w:t>produce the Documents to/make the Documents available for inspection by</w:t>
            </w:r>
            <w:r w:rsidR="00637720" w:rsidRPr="00637720">
              <w:rPr>
                <w:rFonts w:cs="Arial"/>
              </w:rPr>
              <w:t>] [</w:t>
            </w:r>
            <w:r w:rsidR="00637720" w:rsidRPr="00637720">
              <w:rPr>
                <w:rFonts w:cs="Arial"/>
                <w:i/>
              </w:rPr>
              <w:t>name and position of authorised officer</w:t>
            </w:r>
            <w:r w:rsidR="00637720" w:rsidRPr="00637720">
              <w:rPr>
                <w:rFonts w:cs="Arial"/>
              </w:rPr>
              <w:t>] at [</w:t>
            </w:r>
            <w:r w:rsidR="00637720" w:rsidRPr="00637720">
              <w:rPr>
                <w:rFonts w:cs="Arial"/>
                <w:i/>
              </w:rPr>
              <w:t>location</w:t>
            </w:r>
            <w:r w:rsidR="00637720" w:rsidRPr="00637720">
              <w:rPr>
                <w:rFonts w:cs="Arial"/>
              </w:rPr>
              <w:t>] on [</w:t>
            </w:r>
            <w:r w:rsidR="00637720" w:rsidRPr="00637720">
              <w:rPr>
                <w:rFonts w:cs="Arial"/>
                <w:i/>
              </w:rPr>
              <w:t>date</w:t>
            </w:r>
            <w:r w:rsidR="00637720" w:rsidRPr="00637720">
              <w:rPr>
                <w:rFonts w:cs="Arial"/>
              </w:rPr>
              <w:t>] between the hours of [</w:t>
            </w:r>
            <w:r w:rsidR="00637720" w:rsidRPr="00637720">
              <w:rPr>
                <w:rFonts w:cs="Arial"/>
                <w:i/>
              </w:rPr>
              <w:t>time</w:t>
            </w:r>
            <w:r w:rsidR="00637720" w:rsidRPr="00637720">
              <w:rPr>
                <w:rFonts w:cs="Arial"/>
              </w:rPr>
              <w:t>] and [</w:t>
            </w:r>
            <w:r w:rsidR="00637720" w:rsidRPr="00637720">
              <w:rPr>
                <w:rFonts w:cs="Arial"/>
                <w:i/>
              </w:rPr>
              <w:t>time</w:t>
            </w:r>
            <w:r w:rsidR="00637720" w:rsidRPr="00637720">
              <w:rPr>
                <w:rFonts w:cs="Arial"/>
              </w:rPr>
              <w:t xml:space="preserve">]. </w:t>
            </w:r>
            <w:r w:rsidR="00637720" w:rsidRPr="00637720">
              <w:rPr>
                <w:rFonts w:cs="Arial"/>
                <w:b/>
                <w:sz w:val="12"/>
              </w:rPr>
              <w:t>must be at least 14 days</w:t>
            </w:r>
            <w:r w:rsidR="00637720">
              <w:rPr>
                <w:rFonts w:cs="Arial"/>
                <w:b/>
                <w:sz w:val="12"/>
              </w:rPr>
              <w:t xml:space="preserve"> from the date of the O</w:t>
            </w:r>
            <w:r w:rsidR="00637720" w:rsidRPr="00637720">
              <w:rPr>
                <w:rFonts w:cs="Arial"/>
                <w:b/>
                <w:sz w:val="12"/>
              </w:rPr>
              <w:t xml:space="preserve">rder, unless satisfied it will not cause hardship to the person subject to the </w:t>
            </w:r>
            <w:r w:rsidR="00637720">
              <w:rPr>
                <w:rFonts w:cs="Arial"/>
                <w:b/>
                <w:sz w:val="12"/>
              </w:rPr>
              <w:t>O</w:t>
            </w:r>
            <w:r w:rsidR="00637720" w:rsidRPr="00637720">
              <w:rPr>
                <w:rFonts w:cs="Arial"/>
                <w:b/>
                <w:sz w:val="12"/>
              </w:rPr>
              <w:t>rder</w:t>
            </w:r>
          </w:p>
          <w:p w14:paraId="6E611C2A" w14:textId="034B249F" w:rsidR="003D011A" w:rsidRPr="00AC6D34" w:rsidRDefault="00BB2C1E" w:rsidP="00F8470A">
            <w:pPr>
              <w:pStyle w:val="ListParagraph"/>
              <w:numPr>
                <w:ilvl w:val="0"/>
                <w:numId w:val="11"/>
              </w:numPr>
              <w:tabs>
                <w:tab w:val="left" w:pos="451"/>
              </w:tabs>
              <w:spacing w:after="120" w:line="276" w:lineRule="auto"/>
              <w:ind w:left="877" w:hanging="851"/>
              <w:contextualSpacing w:val="0"/>
              <w:rPr>
                <w:rFonts w:cs="Arial"/>
                <w:sz w:val="32"/>
              </w:rPr>
            </w:pPr>
            <w:r w:rsidRPr="00AC6D34">
              <w:rPr>
                <w:rFonts w:cs="Arial"/>
              </w:rPr>
              <w:t>2.</w:t>
            </w:r>
            <w:r w:rsidRPr="00AC6D34">
              <w:rPr>
                <w:rFonts w:cs="Arial"/>
              </w:rPr>
              <w:tab/>
            </w:r>
            <w:r w:rsidR="00637720" w:rsidRPr="00AC6D34">
              <w:rPr>
                <w:rFonts w:cs="Arial"/>
              </w:rPr>
              <w:t xml:space="preserve">Information about this </w:t>
            </w:r>
            <w:r w:rsidR="00AC6D34" w:rsidRPr="00AC6D34">
              <w:rPr>
                <w:rFonts w:cs="Arial"/>
              </w:rPr>
              <w:t>o</w:t>
            </w:r>
            <w:r w:rsidR="00637720" w:rsidRPr="00AC6D34">
              <w:rPr>
                <w:rFonts w:cs="Arial"/>
              </w:rPr>
              <w:t xml:space="preserve">rder </w:t>
            </w:r>
            <w:r w:rsidR="00A00A6F">
              <w:rPr>
                <w:rFonts w:cs="Arial"/>
              </w:rPr>
              <w:t>must</w:t>
            </w:r>
            <w:r w:rsidR="00637720" w:rsidRPr="00AC6D34">
              <w:rPr>
                <w:rFonts w:cs="Arial"/>
              </w:rPr>
              <w:t xml:space="preserve"> not be disclosed.</w:t>
            </w:r>
          </w:p>
          <w:p w14:paraId="1E82778A" w14:textId="2744F301" w:rsidR="003D011A" w:rsidRPr="00AC6D34" w:rsidRDefault="00BB2C1E" w:rsidP="00F8470A">
            <w:pPr>
              <w:pStyle w:val="ListParagraph"/>
              <w:numPr>
                <w:ilvl w:val="0"/>
                <w:numId w:val="11"/>
              </w:numPr>
              <w:tabs>
                <w:tab w:val="left" w:pos="451"/>
              </w:tabs>
              <w:spacing w:after="120" w:line="276" w:lineRule="auto"/>
              <w:ind w:left="877" w:hanging="851"/>
              <w:contextualSpacing w:val="0"/>
              <w:rPr>
                <w:rFonts w:cs="Arial"/>
              </w:rPr>
            </w:pPr>
            <w:r w:rsidRPr="00AC6D34">
              <w:rPr>
                <w:rFonts w:cs="Arial"/>
              </w:rPr>
              <w:t>3.</w:t>
            </w:r>
            <w:r w:rsidRPr="00AC6D34">
              <w:rPr>
                <w:rFonts w:cs="Arial"/>
              </w:rPr>
              <w:tab/>
            </w:r>
            <w:r w:rsidR="00637720" w:rsidRPr="00AC6D34">
              <w:rPr>
                <w:rFonts w:cs="Arial"/>
              </w:rPr>
              <w:t>[</w:t>
            </w:r>
            <w:r w:rsidR="00637720" w:rsidRPr="00AC6D34">
              <w:rPr>
                <w:rFonts w:cs="Arial"/>
                <w:i/>
              </w:rPr>
              <w:t>the Applicant/name of alternative authorised officer</w:t>
            </w:r>
            <w:r w:rsidR="00637720" w:rsidRPr="00AC6D34">
              <w:rPr>
                <w:rFonts w:cs="Arial"/>
              </w:rPr>
              <w:t xml:space="preserve">] is to serve this </w:t>
            </w:r>
            <w:r w:rsidR="00AC6D34" w:rsidRPr="00AC6D34">
              <w:rPr>
                <w:rFonts w:cs="Arial"/>
              </w:rPr>
              <w:t>o</w:t>
            </w:r>
            <w:r w:rsidR="00637720" w:rsidRPr="00AC6D34">
              <w:rPr>
                <w:rFonts w:cs="Arial"/>
              </w:rPr>
              <w:t xml:space="preserve">rder on the </w:t>
            </w:r>
            <w:r w:rsidR="00A00A6F">
              <w:rPr>
                <w:rFonts w:cs="Arial"/>
              </w:rPr>
              <w:t>Subject</w:t>
            </w:r>
            <w:r w:rsidR="003D011A" w:rsidRPr="00AC6D34">
              <w:rPr>
                <w:rFonts w:cs="Arial"/>
              </w:rPr>
              <w:t>.</w:t>
            </w:r>
          </w:p>
          <w:p w14:paraId="0E309B6A" w14:textId="5E54E45F" w:rsidR="00173506" w:rsidRPr="00AC6D34" w:rsidRDefault="00BB2C1E" w:rsidP="00F8470A">
            <w:pPr>
              <w:pStyle w:val="ListParagraph"/>
              <w:numPr>
                <w:ilvl w:val="0"/>
                <w:numId w:val="11"/>
              </w:numPr>
              <w:tabs>
                <w:tab w:val="left" w:pos="451"/>
              </w:tabs>
              <w:spacing w:after="120" w:line="276" w:lineRule="auto"/>
              <w:ind w:left="877" w:hanging="851"/>
              <w:contextualSpacing w:val="0"/>
              <w:rPr>
                <w:rFonts w:cs="Arial"/>
              </w:rPr>
            </w:pPr>
            <w:r w:rsidRPr="00AC6D34">
              <w:rPr>
                <w:rFonts w:cs="Arial"/>
              </w:rPr>
              <w:t>4.</w:t>
            </w:r>
            <w:r w:rsidRPr="00AC6D34">
              <w:rPr>
                <w:rFonts w:cs="Arial"/>
              </w:rPr>
              <w:tab/>
            </w:r>
            <w:r w:rsidR="00637720" w:rsidRPr="00AC6D34">
              <w:rPr>
                <w:rFonts w:cs="Arial"/>
              </w:rPr>
              <w:t>[</w:t>
            </w:r>
            <w:r w:rsidR="00637720" w:rsidRPr="00AC6D34">
              <w:rPr>
                <w:rFonts w:cs="Arial"/>
                <w:i/>
              </w:rPr>
              <w:t>other</w:t>
            </w:r>
            <w:r w:rsidR="00637720" w:rsidRPr="00AC6D34">
              <w:rPr>
                <w:rFonts w:cs="Arial"/>
              </w:rPr>
              <w:t>]</w:t>
            </w:r>
          </w:p>
        </w:tc>
      </w:tr>
    </w:tbl>
    <w:p w14:paraId="5D9C111B" w14:textId="77777777" w:rsidR="00173506" w:rsidRPr="009C4DB2" w:rsidRDefault="00173506" w:rsidP="00F8470A">
      <w:pPr>
        <w:spacing w:before="120" w:after="120" w:line="276" w:lineRule="auto"/>
      </w:pPr>
    </w:p>
    <w:tbl>
      <w:tblPr>
        <w:tblStyle w:val="TableGrid"/>
        <w:tblW w:w="5000" w:type="pct"/>
        <w:tblLook w:val="04A0" w:firstRow="1" w:lastRow="0" w:firstColumn="1" w:lastColumn="0" w:noHBand="0" w:noVBand="1"/>
      </w:tblPr>
      <w:tblGrid>
        <w:gridCol w:w="10457"/>
      </w:tblGrid>
      <w:tr w:rsidR="009C4DB2" w:rsidRPr="009C4DB2" w14:paraId="23E732CE" w14:textId="77777777" w:rsidTr="00A4450B">
        <w:tc>
          <w:tcPr>
            <w:tcW w:w="5000" w:type="pct"/>
          </w:tcPr>
          <w:p w14:paraId="4749277A" w14:textId="588E02B0" w:rsidR="00A4450B" w:rsidRPr="009C4DB2" w:rsidRDefault="00A4450B" w:rsidP="00F8470A">
            <w:pPr>
              <w:spacing w:before="240" w:after="120" w:line="276" w:lineRule="auto"/>
              <w:ind w:right="170"/>
              <w:rPr>
                <w:rFonts w:cs="Arial"/>
                <w:b/>
              </w:rPr>
            </w:pPr>
            <w:r w:rsidRPr="009C4DB2">
              <w:rPr>
                <w:rFonts w:cs="Arial"/>
                <w:b/>
              </w:rPr>
              <w:t xml:space="preserve">To the </w:t>
            </w:r>
            <w:r w:rsidR="00A00A6F">
              <w:rPr>
                <w:rFonts w:cs="Arial"/>
              </w:rPr>
              <w:t>Subject</w:t>
            </w:r>
            <w:r w:rsidRPr="009C4DB2">
              <w:rPr>
                <w:rFonts w:cs="Arial"/>
                <w:b/>
              </w:rPr>
              <w:t>:</w:t>
            </w:r>
            <w:r w:rsidRPr="009C4DB2">
              <w:rPr>
                <w:rFonts w:eastAsia="Arial" w:cs="Arial"/>
              </w:rPr>
              <w:t xml:space="preserve"> </w:t>
            </w:r>
            <w:r w:rsidRPr="009C4DB2">
              <w:rPr>
                <w:rFonts w:cs="Arial"/>
                <w:b/>
              </w:rPr>
              <w:t>WARNING</w:t>
            </w:r>
          </w:p>
          <w:p w14:paraId="5C7C5806" w14:textId="4FE24890" w:rsidR="007C3DAF" w:rsidRPr="007C3DAF" w:rsidRDefault="007C3DAF" w:rsidP="00F8470A">
            <w:pPr>
              <w:pStyle w:val="ListParagraph"/>
              <w:numPr>
                <w:ilvl w:val="0"/>
                <w:numId w:val="9"/>
              </w:numPr>
              <w:spacing w:after="120" w:line="276" w:lineRule="auto"/>
              <w:ind w:left="589" w:hanging="357"/>
              <w:contextualSpacing w:val="0"/>
              <w:rPr>
                <w:rFonts w:cs="Arial"/>
              </w:rPr>
            </w:pPr>
            <w:r w:rsidRPr="007C3DAF">
              <w:rPr>
                <w:rFonts w:cs="Arial"/>
              </w:rPr>
              <w:t>I</w:t>
            </w:r>
            <w:r>
              <w:rPr>
                <w:rFonts w:cs="Arial"/>
              </w:rPr>
              <w:t>f you disobey this</w:t>
            </w:r>
            <w:r w:rsidR="00AC6D34">
              <w:rPr>
                <w:rFonts w:cs="Arial"/>
              </w:rPr>
              <w:t xml:space="preserve"> o</w:t>
            </w:r>
            <w:r w:rsidR="001730B3">
              <w:rPr>
                <w:rFonts w:cs="Arial"/>
              </w:rPr>
              <w:t xml:space="preserve">rder and are not </w:t>
            </w:r>
            <w:r w:rsidRPr="007C3DAF">
              <w:rPr>
                <w:rFonts w:cs="Arial"/>
              </w:rPr>
              <w:t xml:space="preserve">excused from complying under </w:t>
            </w:r>
            <w:r w:rsidR="0040414B">
              <w:rPr>
                <w:rFonts w:cs="Arial"/>
              </w:rPr>
              <w:t>[</w:t>
            </w:r>
            <w:r w:rsidR="0040414B">
              <w:rPr>
                <w:rFonts w:cs="Arial"/>
                <w:i/>
              </w:rPr>
              <w:t>section</w:t>
            </w:r>
            <w:r w:rsidR="003C0C05">
              <w:rPr>
                <w:rFonts w:cs="Arial"/>
                <w:i/>
              </w:rPr>
              <w:t xml:space="preserve"> </w:t>
            </w:r>
            <w:r w:rsidR="001730B3">
              <w:rPr>
                <w:rFonts w:cs="Arial"/>
                <w:i/>
              </w:rPr>
              <w:t>15</w:t>
            </w:r>
            <w:r w:rsidR="0040414B">
              <w:rPr>
                <w:rFonts w:cs="Arial"/>
                <w:i/>
              </w:rPr>
              <w:t xml:space="preserve">8(2) </w:t>
            </w:r>
            <w:r w:rsidR="0040414B" w:rsidRPr="0040414B">
              <w:rPr>
                <w:rFonts w:cs="Arial"/>
                <w:i/>
              </w:rPr>
              <w:t>of the Criminal Assets</w:t>
            </w:r>
            <w:r w:rsidR="0040414B" w:rsidRPr="001C4EF4">
              <w:rPr>
                <w:rFonts w:cs="Arial"/>
                <w:i/>
              </w:rPr>
              <w:t xml:space="preserve"> Confiscation Act 2005</w:t>
            </w:r>
            <w:r w:rsidR="0040414B">
              <w:rPr>
                <w:rFonts w:cs="Arial"/>
                <w:i/>
              </w:rPr>
              <w:t>/</w:t>
            </w:r>
            <w:r w:rsidR="0040414B" w:rsidRPr="0040414B">
              <w:rPr>
                <w:i/>
              </w:rPr>
              <w:t>sectio</w:t>
            </w:r>
            <w:r w:rsidR="001730B3">
              <w:rPr>
                <w:i/>
              </w:rPr>
              <w:t>n 211(3</w:t>
            </w:r>
            <w:r w:rsidR="0040414B">
              <w:rPr>
                <w:i/>
              </w:rPr>
              <w:t>)</w:t>
            </w:r>
            <w:r w:rsidR="0040414B" w:rsidRPr="0040414B">
              <w:rPr>
                <w:i/>
              </w:rPr>
              <w:t xml:space="preserve"> of the Proceeds of Crime Act 2002 (</w:t>
            </w:r>
            <w:proofErr w:type="spellStart"/>
            <w:r w:rsidR="0040414B" w:rsidRPr="0040414B">
              <w:rPr>
                <w:i/>
              </w:rPr>
              <w:t>Cth</w:t>
            </w:r>
            <w:proofErr w:type="spellEnd"/>
            <w:r w:rsidR="0040414B" w:rsidRPr="0040414B">
              <w:rPr>
                <w:i/>
              </w:rPr>
              <w:t>)</w:t>
            </w:r>
            <w:r w:rsidR="0040414B">
              <w:t>]</w:t>
            </w:r>
            <w:r w:rsidRPr="007C3DAF">
              <w:rPr>
                <w:rFonts w:cs="Arial"/>
              </w:rPr>
              <w:t>, you will be guilty of an offence and liable to [</w:t>
            </w:r>
            <w:r w:rsidRPr="00791027">
              <w:rPr>
                <w:rFonts w:cs="Arial"/>
                <w:i/>
              </w:rPr>
              <w:t>imprisonment/detention</w:t>
            </w:r>
            <w:r w:rsidRPr="007C3DAF">
              <w:rPr>
                <w:rFonts w:cs="Arial"/>
              </w:rPr>
              <w:t>] not exceeding 6 months or a fine not exceeding $2,500.</w:t>
            </w:r>
          </w:p>
          <w:p w14:paraId="2949BCD1" w14:textId="07B77C02" w:rsidR="007C3DAF" w:rsidRPr="007C3DAF" w:rsidRDefault="007C3DAF" w:rsidP="00F8470A">
            <w:pPr>
              <w:pStyle w:val="ListParagraph"/>
              <w:numPr>
                <w:ilvl w:val="0"/>
                <w:numId w:val="9"/>
              </w:numPr>
              <w:spacing w:after="120" w:line="276" w:lineRule="auto"/>
              <w:ind w:left="589" w:hanging="357"/>
              <w:contextualSpacing w:val="0"/>
              <w:rPr>
                <w:rFonts w:cs="Arial"/>
              </w:rPr>
            </w:pPr>
            <w:r w:rsidRPr="007C3DAF">
              <w:rPr>
                <w:rFonts w:cs="Arial"/>
              </w:rPr>
              <w:t xml:space="preserve">You may not refuse to comply with this </w:t>
            </w:r>
            <w:r w:rsidR="00AC6D34">
              <w:rPr>
                <w:rFonts w:cs="Arial"/>
              </w:rPr>
              <w:t>o</w:t>
            </w:r>
            <w:r w:rsidRPr="007C3DAF">
              <w:rPr>
                <w:rFonts w:cs="Arial"/>
              </w:rPr>
              <w:t>rder on the ground</w:t>
            </w:r>
            <w:r w:rsidR="00791027">
              <w:rPr>
                <w:rFonts w:cs="Arial"/>
              </w:rPr>
              <w:t>s</w:t>
            </w:r>
            <w:r w:rsidRPr="007C3DAF">
              <w:rPr>
                <w:rFonts w:cs="Arial"/>
              </w:rPr>
              <w:t xml:space="preserve"> that doing so would tend to incriminate you. However, any evidence given </w:t>
            </w:r>
            <w:proofErr w:type="gramStart"/>
            <w:r w:rsidRPr="007C3DAF">
              <w:rPr>
                <w:rFonts w:cs="Arial"/>
              </w:rPr>
              <w:t>in the course of</w:t>
            </w:r>
            <w:proofErr w:type="gramEnd"/>
            <w:r w:rsidRPr="007C3DAF">
              <w:rPr>
                <w:rFonts w:cs="Arial"/>
              </w:rPr>
              <w:t xml:space="preserve"> complying with this </w:t>
            </w:r>
            <w:r w:rsidR="00AC6D34">
              <w:rPr>
                <w:rFonts w:cs="Arial"/>
              </w:rPr>
              <w:t>o</w:t>
            </w:r>
            <w:r w:rsidRPr="007C3DAF">
              <w:rPr>
                <w:rFonts w:cs="Arial"/>
              </w:rPr>
              <w:t>rder cannot be used against you if you are charged with an offence. The exception to this is where you are charged with an offence based on knowingly providing false or misleadi</w:t>
            </w:r>
            <w:r w:rsidR="00AC6D34">
              <w:rPr>
                <w:rFonts w:cs="Arial"/>
              </w:rPr>
              <w:t>ng evidence in respect of this o</w:t>
            </w:r>
            <w:r w:rsidRPr="007C3DAF">
              <w:rPr>
                <w:rFonts w:cs="Arial"/>
              </w:rPr>
              <w:t>rder.</w:t>
            </w:r>
          </w:p>
          <w:p w14:paraId="0CDD6137" w14:textId="2E2259C3" w:rsidR="00A4450B" w:rsidRPr="007C3DAF" w:rsidRDefault="007C3DAF" w:rsidP="00F8470A">
            <w:pPr>
              <w:pStyle w:val="ListParagraph"/>
              <w:numPr>
                <w:ilvl w:val="0"/>
                <w:numId w:val="9"/>
              </w:numPr>
              <w:spacing w:after="120" w:line="276" w:lineRule="auto"/>
              <w:ind w:left="589" w:hanging="357"/>
              <w:contextualSpacing w:val="0"/>
              <w:rPr>
                <w:rFonts w:cs="Arial"/>
              </w:rPr>
            </w:pPr>
            <w:r w:rsidRPr="00791027">
              <w:rPr>
                <w:rFonts w:cs="Arial"/>
                <w:b/>
                <w:sz w:val="12"/>
              </w:rPr>
              <w:t xml:space="preserve">only display if </w:t>
            </w:r>
            <w:r w:rsidR="00AC6D34">
              <w:rPr>
                <w:rFonts w:cs="Arial"/>
                <w:b/>
                <w:sz w:val="12"/>
              </w:rPr>
              <w:t>o</w:t>
            </w:r>
            <w:r w:rsidRPr="00791027">
              <w:rPr>
                <w:rFonts w:cs="Arial"/>
                <w:b/>
                <w:sz w:val="12"/>
              </w:rPr>
              <w:t>rder includes non-</w:t>
            </w:r>
            <w:r w:rsidR="00791027">
              <w:rPr>
                <w:rFonts w:cs="Arial"/>
                <w:b/>
                <w:sz w:val="12"/>
              </w:rPr>
              <w:t>disclosure</w:t>
            </w:r>
            <w:r w:rsidRPr="007C3DAF">
              <w:rPr>
                <w:rFonts w:cs="Arial"/>
              </w:rPr>
              <w:t xml:space="preserve"> If you disclose information about t</w:t>
            </w:r>
            <w:r w:rsidR="00AC6D34">
              <w:rPr>
                <w:rFonts w:cs="Arial"/>
              </w:rPr>
              <w:t>he existence or nature of this o</w:t>
            </w:r>
            <w:r w:rsidRPr="007C3DAF">
              <w:rPr>
                <w:rFonts w:cs="Arial"/>
              </w:rPr>
              <w:t xml:space="preserve">rder or disclose information to another person from which the other person could infer the existence or nature of this </w:t>
            </w:r>
            <w:r w:rsidR="00AC6D34">
              <w:rPr>
                <w:rFonts w:cs="Arial"/>
              </w:rPr>
              <w:t>o</w:t>
            </w:r>
            <w:r w:rsidRPr="007C3DAF">
              <w:rPr>
                <w:rFonts w:cs="Arial"/>
              </w:rPr>
              <w:t>rder, you will be guilty of an offence and liable to [</w:t>
            </w:r>
            <w:r w:rsidRPr="00791027">
              <w:rPr>
                <w:rFonts w:cs="Arial"/>
                <w:i/>
              </w:rPr>
              <w:t>imprisonment/detention</w:t>
            </w:r>
            <w:r w:rsidRPr="007C3DAF">
              <w:rPr>
                <w:rFonts w:cs="Arial"/>
              </w:rPr>
              <w:t>] not exceeding 2 years or a fine not exceeding [</w:t>
            </w:r>
            <w:r w:rsidRPr="00791027">
              <w:rPr>
                <w:rFonts w:cs="Arial"/>
                <w:i/>
              </w:rPr>
              <w:t>$10,000/$2,500</w:t>
            </w:r>
            <w:r w:rsidRPr="007C3DAF">
              <w:rPr>
                <w:rFonts w:cs="Arial"/>
              </w:rPr>
              <w:t xml:space="preserve">]. This does not apply to disclosure made for a purpose set out in </w:t>
            </w:r>
            <w:r w:rsidR="0040414B">
              <w:rPr>
                <w:rFonts w:cs="Arial"/>
              </w:rPr>
              <w:t>[</w:t>
            </w:r>
            <w:r w:rsidR="0040414B" w:rsidRPr="0040414B">
              <w:rPr>
                <w:rFonts w:cs="Arial"/>
                <w:i/>
              </w:rPr>
              <w:t>section 15</w:t>
            </w:r>
            <w:r w:rsidR="0040414B">
              <w:rPr>
                <w:rFonts w:cs="Arial"/>
                <w:i/>
              </w:rPr>
              <w:t>7(2)</w:t>
            </w:r>
            <w:r w:rsidR="0040414B" w:rsidRPr="0040414B">
              <w:rPr>
                <w:rFonts w:cs="Arial"/>
                <w:i/>
              </w:rPr>
              <w:t xml:space="preserve"> of the Criminal Assets</w:t>
            </w:r>
            <w:r w:rsidR="0040414B" w:rsidRPr="001C4EF4">
              <w:rPr>
                <w:rFonts w:cs="Arial"/>
                <w:i/>
              </w:rPr>
              <w:t xml:space="preserve"> Confiscation Act 2005</w:t>
            </w:r>
            <w:r w:rsidR="0040414B">
              <w:rPr>
                <w:rFonts w:cs="Arial"/>
                <w:i/>
              </w:rPr>
              <w:t>/</w:t>
            </w:r>
            <w:r w:rsidR="0040414B" w:rsidRPr="0040414B">
              <w:rPr>
                <w:i/>
              </w:rPr>
              <w:t>sectio</w:t>
            </w:r>
            <w:r w:rsidR="00A41A26">
              <w:rPr>
                <w:i/>
              </w:rPr>
              <w:t>n 210(3)</w:t>
            </w:r>
            <w:r w:rsidR="0040414B" w:rsidRPr="0040414B">
              <w:rPr>
                <w:i/>
              </w:rPr>
              <w:t xml:space="preserve"> of the Proceeds of Crime Act 2002 (</w:t>
            </w:r>
            <w:proofErr w:type="spellStart"/>
            <w:r w:rsidR="0040414B" w:rsidRPr="0040414B">
              <w:rPr>
                <w:i/>
              </w:rPr>
              <w:t>Cth</w:t>
            </w:r>
            <w:proofErr w:type="spellEnd"/>
            <w:r w:rsidR="0040414B" w:rsidRPr="0040414B">
              <w:rPr>
                <w:i/>
              </w:rPr>
              <w:t>)</w:t>
            </w:r>
            <w:r w:rsidR="0040414B">
              <w:t>]</w:t>
            </w:r>
            <w:r w:rsidRPr="007C3DAF">
              <w:rPr>
                <w:rFonts w:cs="Arial"/>
              </w:rPr>
              <w:t>.</w:t>
            </w:r>
          </w:p>
        </w:tc>
      </w:tr>
    </w:tbl>
    <w:p w14:paraId="69D049A0" w14:textId="2A1C1A19" w:rsidR="00A4450B" w:rsidRDefault="00A4450B" w:rsidP="00F8470A">
      <w:pPr>
        <w:widowControl w:val="0"/>
        <w:spacing w:before="240" w:line="276" w:lineRule="auto"/>
        <w:rPr>
          <w:rFonts w:cs="Arial"/>
          <w:b/>
          <w:sz w:val="12"/>
        </w:rPr>
      </w:pPr>
    </w:p>
    <w:tbl>
      <w:tblPr>
        <w:tblStyle w:val="TableGrid"/>
        <w:tblW w:w="5000" w:type="pct"/>
        <w:tblLook w:val="04A0" w:firstRow="1" w:lastRow="0" w:firstColumn="1" w:lastColumn="0" w:noHBand="0" w:noVBand="1"/>
      </w:tblPr>
      <w:tblGrid>
        <w:gridCol w:w="10457"/>
      </w:tblGrid>
      <w:tr w:rsidR="00F705D2" w:rsidRPr="00545935" w14:paraId="15E5F434" w14:textId="77777777" w:rsidTr="00F705D2">
        <w:trPr>
          <w:cantSplit/>
        </w:trPr>
        <w:tc>
          <w:tcPr>
            <w:tcW w:w="10457" w:type="dxa"/>
          </w:tcPr>
          <w:p w14:paraId="563FA1A1" w14:textId="77777777" w:rsidR="00F705D2" w:rsidRPr="00545935" w:rsidRDefault="00F705D2" w:rsidP="00F8470A">
            <w:pPr>
              <w:widowControl w:val="0"/>
              <w:spacing w:before="240" w:line="276" w:lineRule="auto"/>
              <w:ind w:right="176"/>
              <w:rPr>
                <w:rFonts w:cs="Arial"/>
                <w:b/>
              </w:rPr>
            </w:pPr>
            <w:r w:rsidRPr="00545935">
              <w:rPr>
                <w:rFonts w:cs="Arial"/>
                <w:b/>
              </w:rPr>
              <w:t>Authentication</w:t>
            </w:r>
          </w:p>
          <w:p w14:paraId="62287FD4" w14:textId="77777777" w:rsidR="00F705D2" w:rsidRPr="00545935" w:rsidRDefault="00F705D2" w:rsidP="00F8470A">
            <w:pPr>
              <w:widowControl w:val="0"/>
              <w:spacing w:before="600" w:line="276" w:lineRule="auto"/>
              <w:ind w:right="176"/>
              <w:rPr>
                <w:rFonts w:cs="Arial"/>
              </w:rPr>
            </w:pPr>
            <w:r w:rsidRPr="00545935">
              <w:rPr>
                <w:rFonts w:cs="Arial"/>
              </w:rPr>
              <w:t>…………………………………………</w:t>
            </w:r>
          </w:p>
          <w:p w14:paraId="46BCE48C" w14:textId="3571C937" w:rsidR="00F705D2" w:rsidRDefault="00F705D2" w:rsidP="00F8470A">
            <w:pPr>
              <w:widowControl w:val="0"/>
              <w:spacing w:line="276" w:lineRule="auto"/>
              <w:ind w:right="176"/>
              <w:rPr>
                <w:rFonts w:cs="Arial"/>
              </w:rPr>
            </w:pPr>
            <w:r>
              <w:rPr>
                <w:rFonts w:cs="Arial"/>
              </w:rPr>
              <w:t xml:space="preserve">Signature of </w:t>
            </w:r>
            <w:r w:rsidR="00EF6C80">
              <w:rPr>
                <w:rFonts w:cs="Arial"/>
              </w:rPr>
              <w:t>Court</w:t>
            </w:r>
            <w:r w:rsidRPr="00545935">
              <w:rPr>
                <w:rFonts w:cs="Arial"/>
              </w:rPr>
              <w:t xml:space="preserve"> </w:t>
            </w:r>
            <w:r>
              <w:rPr>
                <w:rFonts w:cs="Arial"/>
              </w:rPr>
              <w:t>O</w:t>
            </w:r>
            <w:r w:rsidRPr="00545935">
              <w:rPr>
                <w:rFonts w:cs="Arial"/>
              </w:rPr>
              <w:t>fficer</w:t>
            </w:r>
          </w:p>
          <w:p w14:paraId="5798A45A" w14:textId="77777777" w:rsidR="00F705D2" w:rsidRPr="00545935" w:rsidRDefault="00F705D2" w:rsidP="00F8470A">
            <w:pPr>
              <w:widowControl w:val="0"/>
              <w:spacing w:after="120" w:line="276" w:lineRule="auto"/>
              <w:ind w:right="176"/>
              <w:rPr>
                <w:rFonts w:cs="Arial"/>
                <w:color w:val="000000" w:themeColor="text1"/>
              </w:rPr>
            </w:pPr>
            <w:r>
              <w:rPr>
                <w:rFonts w:cs="Arial"/>
              </w:rPr>
              <w:t>[</w:t>
            </w:r>
            <w:r>
              <w:rPr>
                <w:rFonts w:cs="Arial"/>
                <w:i/>
              </w:rPr>
              <w:t>title</w:t>
            </w:r>
            <w:r w:rsidRPr="007145E2">
              <w:rPr>
                <w:rFonts w:cs="Arial"/>
                <w:i/>
              </w:rPr>
              <w:t xml:space="preserve"> and</w:t>
            </w:r>
            <w:r>
              <w:rPr>
                <w:rFonts w:cs="Arial"/>
                <w:i/>
              </w:rPr>
              <w:t xml:space="preserve"> name</w:t>
            </w:r>
            <w:r>
              <w:rPr>
                <w:rFonts w:cs="Arial"/>
              </w:rPr>
              <w:t>]</w:t>
            </w:r>
          </w:p>
        </w:tc>
      </w:tr>
    </w:tbl>
    <w:p w14:paraId="600284E8" w14:textId="4C65FCF0" w:rsidR="00F705D2" w:rsidRDefault="00F705D2" w:rsidP="00F8470A">
      <w:pPr>
        <w:spacing w:before="120" w:after="120" w:line="276" w:lineRule="auto"/>
        <w:rPr>
          <w:rFonts w:cs="Arial"/>
        </w:rPr>
      </w:pPr>
    </w:p>
    <w:tbl>
      <w:tblPr>
        <w:tblStyle w:val="TableGrid"/>
        <w:tblW w:w="0" w:type="auto"/>
        <w:tblLook w:val="04A0" w:firstRow="1" w:lastRow="0" w:firstColumn="1" w:lastColumn="0" w:noHBand="0" w:noVBand="1"/>
      </w:tblPr>
      <w:tblGrid>
        <w:gridCol w:w="988"/>
        <w:gridCol w:w="1842"/>
        <w:gridCol w:w="7627"/>
      </w:tblGrid>
      <w:tr w:rsidR="00DD68D4" w14:paraId="58E09D25" w14:textId="77777777" w:rsidTr="008E574F">
        <w:tc>
          <w:tcPr>
            <w:tcW w:w="10457" w:type="dxa"/>
            <w:gridSpan w:val="3"/>
          </w:tcPr>
          <w:p w14:paraId="43F63F21" w14:textId="57F14F6E" w:rsidR="00DD68D4" w:rsidRPr="00F8470A" w:rsidRDefault="00DD68D4" w:rsidP="00F8470A">
            <w:pPr>
              <w:spacing w:before="120" w:after="120" w:line="276" w:lineRule="auto"/>
              <w:rPr>
                <w:rFonts w:cs="Arial"/>
                <w:b/>
                <w:bCs/>
              </w:rPr>
            </w:pPr>
            <w:bookmarkStart w:id="3" w:name="_Hlk87381699"/>
            <w:r w:rsidRPr="00F8470A">
              <w:rPr>
                <w:rFonts w:cs="Arial"/>
                <w:b/>
                <w:bCs/>
              </w:rPr>
              <w:t>Schedule (The Documents)</w:t>
            </w:r>
          </w:p>
        </w:tc>
      </w:tr>
      <w:tr w:rsidR="00DD68D4" w14:paraId="198855E4" w14:textId="77777777" w:rsidTr="00DD68D4">
        <w:tc>
          <w:tcPr>
            <w:tcW w:w="988" w:type="dxa"/>
          </w:tcPr>
          <w:p w14:paraId="3BF96B35" w14:textId="77A54AD4" w:rsidR="00DD68D4" w:rsidRDefault="00DD68D4" w:rsidP="00F8470A">
            <w:pPr>
              <w:spacing w:before="120" w:after="120" w:line="276" w:lineRule="auto"/>
              <w:rPr>
                <w:rFonts w:cs="Arial"/>
              </w:rPr>
            </w:pPr>
            <w:r>
              <w:rPr>
                <w:rFonts w:cs="Arial"/>
              </w:rPr>
              <w:t>No</w:t>
            </w:r>
          </w:p>
        </w:tc>
        <w:tc>
          <w:tcPr>
            <w:tcW w:w="1842" w:type="dxa"/>
          </w:tcPr>
          <w:p w14:paraId="4C148C37" w14:textId="7A53843C" w:rsidR="00DD68D4" w:rsidRDefault="00DD68D4" w:rsidP="00F8470A">
            <w:pPr>
              <w:spacing w:before="120" w:after="120" w:line="276" w:lineRule="auto"/>
              <w:rPr>
                <w:rFonts w:cs="Arial"/>
              </w:rPr>
            </w:pPr>
            <w:r>
              <w:rPr>
                <w:rFonts w:cs="Arial"/>
              </w:rPr>
              <w:t>Date</w:t>
            </w:r>
          </w:p>
        </w:tc>
        <w:tc>
          <w:tcPr>
            <w:tcW w:w="7627" w:type="dxa"/>
          </w:tcPr>
          <w:p w14:paraId="6A92B721" w14:textId="20D469EB" w:rsidR="00DD68D4" w:rsidRDefault="00DD68D4" w:rsidP="00F8470A">
            <w:pPr>
              <w:spacing w:before="120" w:after="120" w:line="276" w:lineRule="auto"/>
              <w:rPr>
                <w:rFonts w:cs="Arial"/>
              </w:rPr>
            </w:pPr>
            <w:r>
              <w:rPr>
                <w:rFonts w:cs="Arial"/>
              </w:rPr>
              <w:t>Description</w:t>
            </w:r>
          </w:p>
        </w:tc>
      </w:tr>
      <w:tr w:rsidR="00DD68D4" w14:paraId="34D3367F" w14:textId="77777777" w:rsidTr="00DD68D4">
        <w:tc>
          <w:tcPr>
            <w:tcW w:w="988" w:type="dxa"/>
          </w:tcPr>
          <w:p w14:paraId="1E53CAB2" w14:textId="77777777" w:rsidR="00DD68D4" w:rsidRDefault="00DD68D4" w:rsidP="00F8470A">
            <w:pPr>
              <w:spacing w:before="120" w:after="120" w:line="276" w:lineRule="auto"/>
              <w:rPr>
                <w:rFonts w:cs="Arial"/>
              </w:rPr>
            </w:pPr>
          </w:p>
        </w:tc>
        <w:tc>
          <w:tcPr>
            <w:tcW w:w="1842" w:type="dxa"/>
          </w:tcPr>
          <w:p w14:paraId="712D54E5" w14:textId="77777777" w:rsidR="00DD68D4" w:rsidRDefault="00DD68D4" w:rsidP="00F8470A">
            <w:pPr>
              <w:spacing w:before="120" w:after="120" w:line="276" w:lineRule="auto"/>
              <w:rPr>
                <w:rFonts w:cs="Arial"/>
              </w:rPr>
            </w:pPr>
          </w:p>
        </w:tc>
        <w:tc>
          <w:tcPr>
            <w:tcW w:w="7627" w:type="dxa"/>
          </w:tcPr>
          <w:p w14:paraId="0F93D15B" w14:textId="4B540414" w:rsidR="00DD68D4" w:rsidRDefault="00DD68D4" w:rsidP="00F8470A">
            <w:pPr>
              <w:spacing w:before="120" w:after="120" w:line="276" w:lineRule="auto"/>
              <w:rPr>
                <w:rFonts w:cs="Arial"/>
              </w:rPr>
            </w:pPr>
          </w:p>
        </w:tc>
      </w:tr>
      <w:tr w:rsidR="00DD68D4" w14:paraId="431D11FF" w14:textId="77777777" w:rsidTr="00DD68D4">
        <w:tc>
          <w:tcPr>
            <w:tcW w:w="988" w:type="dxa"/>
          </w:tcPr>
          <w:p w14:paraId="25DE86F2" w14:textId="77777777" w:rsidR="00DD68D4" w:rsidRDefault="00DD68D4" w:rsidP="00F8470A">
            <w:pPr>
              <w:spacing w:before="120" w:after="120" w:line="276" w:lineRule="auto"/>
              <w:rPr>
                <w:rFonts w:cs="Arial"/>
              </w:rPr>
            </w:pPr>
          </w:p>
        </w:tc>
        <w:tc>
          <w:tcPr>
            <w:tcW w:w="1842" w:type="dxa"/>
          </w:tcPr>
          <w:p w14:paraId="7F130AD9" w14:textId="77777777" w:rsidR="00DD68D4" w:rsidRDefault="00DD68D4" w:rsidP="00F8470A">
            <w:pPr>
              <w:spacing w:before="120" w:after="120" w:line="276" w:lineRule="auto"/>
              <w:rPr>
                <w:rFonts w:cs="Arial"/>
              </w:rPr>
            </w:pPr>
          </w:p>
        </w:tc>
        <w:tc>
          <w:tcPr>
            <w:tcW w:w="7627" w:type="dxa"/>
          </w:tcPr>
          <w:p w14:paraId="64EBBF77" w14:textId="731EC907" w:rsidR="00DD68D4" w:rsidRDefault="00DD68D4" w:rsidP="00F8470A">
            <w:pPr>
              <w:spacing w:before="120" w:after="120" w:line="276" w:lineRule="auto"/>
              <w:rPr>
                <w:rFonts w:cs="Arial"/>
              </w:rPr>
            </w:pPr>
          </w:p>
        </w:tc>
      </w:tr>
      <w:tr w:rsidR="00DD68D4" w14:paraId="156655C0" w14:textId="77777777" w:rsidTr="00DD68D4">
        <w:tc>
          <w:tcPr>
            <w:tcW w:w="988" w:type="dxa"/>
          </w:tcPr>
          <w:p w14:paraId="4D482E57" w14:textId="77777777" w:rsidR="00DD68D4" w:rsidRDefault="00DD68D4" w:rsidP="00F8470A">
            <w:pPr>
              <w:spacing w:before="120" w:after="120" w:line="276" w:lineRule="auto"/>
              <w:rPr>
                <w:rFonts w:cs="Arial"/>
              </w:rPr>
            </w:pPr>
          </w:p>
        </w:tc>
        <w:tc>
          <w:tcPr>
            <w:tcW w:w="1842" w:type="dxa"/>
          </w:tcPr>
          <w:p w14:paraId="071D50D9" w14:textId="77777777" w:rsidR="00DD68D4" w:rsidRDefault="00DD68D4" w:rsidP="00F8470A">
            <w:pPr>
              <w:spacing w:before="120" w:after="120" w:line="276" w:lineRule="auto"/>
              <w:rPr>
                <w:rFonts w:cs="Arial"/>
              </w:rPr>
            </w:pPr>
          </w:p>
        </w:tc>
        <w:tc>
          <w:tcPr>
            <w:tcW w:w="7627" w:type="dxa"/>
          </w:tcPr>
          <w:p w14:paraId="65269D1D" w14:textId="18942A09" w:rsidR="00DD68D4" w:rsidRDefault="00DD68D4" w:rsidP="00F8470A">
            <w:pPr>
              <w:spacing w:before="120" w:after="120" w:line="276" w:lineRule="auto"/>
              <w:rPr>
                <w:rFonts w:cs="Arial"/>
              </w:rPr>
            </w:pPr>
          </w:p>
        </w:tc>
      </w:tr>
      <w:bookmarkEnd w:id="3"/>
    </w:tbl>
    <w:p w14:paraId="482B0AD2" w14:textId="77777777" w:rsidR="00F705D2" w:rsidRPr="009C4DB2" w:rsidRDefault="00F705D2" w:rsidP="00F8470A">
      <w:pPr>
        <w:spacing w:after="120" w:line="276" w:lineRule="auto"/>
        <w:rPr>
          <w:rFonts w:cs="Arial"/>
        </w:rPr>
      </w:pPr>
    </w:p>
    <w:sectPr w:rsidR="00F705D2" w:rsidRPr="009C4DB2" w:rsidSect="00F64C03">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1E59C" w14:textId="77777777" w:rsidR="00545935" w:rsidRDefault="00545935" w:rsidP="00545935">
      <w:r>
        <w:separator/>
      </w:r>
    </w:p>
  </w:endnote>
  <w:endnote w:type="continuationSeparator" w:id="0">
    <w:p w14:paraId="7234C765" w14:textId="77777777" w:rsidR="00545935" w:rsidRDefault="00545935" w:rsidP="005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AC6D" w14:textId="77777777" w:rsidR="00706193" w:rsidRDefault="00706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17F1" w14:textId="77777777" w:rsidR="00706193" w:rsidRDefault="00706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BF5E" w14:textId="77777777" w:rsidR="00706193" w:rsidRDefault="00706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D9C2" w14:textId="77777777" w:rsidR="00545935" w:rsidRDefault="00545935" w:rsidP="00545935">
      <w:r>
        <w:separator/>
      </w:r>
    </w:p>
  </w:footnote>
  <w:footnote w:type="continuationSeparator" w:id="0">
    <w:p w14:paraId="1715523F" w14:textId="77777777" w:rsidR="00545935" w:rsidRDefault="00545935" w:rsidP="0054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B565" w14:textId="77777777" w:rsidR="00706193" w:rsidRDefault="00706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FE44" w14:textId="4CAAB412" w:rsidR="00F64C03" w:rsidRPr="002C6F55" w:rsidRDefault="00545935">
    <w:pPr>
      <w:pStyle w:val="Header"/>
      <w:rPr>
        <w:lang w:val="en-US"/>
      </w:rPr>
    </w:pPr>
    <w:r>
      <w:rPr>
        <w:lang w:val="en-US"/>
      </w:rPr>
      <w:t xml:space="preserve">Form </w:t>
    </w:r>
    <w:r w:rsidR="00706193">
      <w:rPr>
        <w:lang w:val="en-US"/>
      </w:rPr>
      <w:t>9</w:t>
    </w:r>
    <w:r w:rsidR="0068190B">
      <w:rPr>
        <w:lang w:val="en-US"/>
      </w:rPr>
      <w:t>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EF2F" w14:textId="4BCB0103" w:rsidR="00E92F2A" w:rsidRPr="00545935" w:rsidRDefault="00545935" w:rsidP="00E92F2A">
    <w:pPr>
      <w:pStyle w:val="Header"/>
      <w:rPr>
        <w:rFonts w:cs="Arial"/>
        <w:lang w:val="en-US"/>
      </w:rPr>
    </w:pPr>
    <w:r w:rsidRPr="00545935">
      <w:rPr>
        <w:rFonts w:cs="Arial"/>
        <w:lang w:val="en-US"/>
      </w:rPr>
      <w:t xml:space="preserve">Form </w:t>
    </w:r>
    <w:r w:rsidR="00706193">
      <w:rPr>
        <w:rFonts w:cs="Arial"/>
        <w:lang w:val="en-US"/>
      </w:rPr>
      <w:t>9</w:t>
    </w:r>
    <w:r w:rsidR="0068190B">
      <w:rPr>
        <w:rFonts w:cs="Arial"/>
        <w:lang w:val="en-US"/>
      </w:rPr>
      <w:t>2E</w:t>
    </w:r>
  </w:p>
  <w:p w14:paraId="14BABF1C" w14:textId="77777777" w:rsidR="00917942" w:rsidRPr="00545935" w:rsidRDefault="00EF6C80" w:rsidP="00D45C01">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2D1918" w14:paraId="67FDB6A2" w14:textId="77777777" w:rsidTr="002D1918">
      <w:tc>
        <w:tcPr>
          <w:tcW w:w="3899" w:type="pct"/>
          <w:tcBorders>
            <w:top w:val="single" w:sz="4" w:space="0" w:color="auto"/>
            <w:left w:val="single" w:sz="4" w:space="0" w:color="auto"/>
            <w:bottom w:val="nil"/>
            <w:right w:val="nil"/>
          </w:tcBorders>
          <w:hideMark/>
        </w:tcPr>
        <w:p w14:paraId="5B425143" w14:textId="77777777" w:rsidR="002D1918" w:rsidRDefault="002D1918" w:rsidP="002D1918">
          <w:pPr>
            <w:tabs>
              <w:tab w:val="center" w:pos="4153"/>
              <w:tab w:val="right" w:pos="8306"/>
            </w:tabs>
            <w:rPr>
              <w:b/>
            </w:rPr>
          </w:pPr>
          <w:r>
            <w:rPr>
              <w:b/>
              <w:sz w:val="16"/>
            </w:rPr>
            <w:t>To be inserted by Court</w:t>
          </w:r>
        </w:p>
      </w:tc>
      <w:tc>
        <w:tcPr>
          <w:tcW w:w="1101" w:type="pct"/>
          <w:tcBorders>
            <w:top w:val="single" w:sz="4" w:space="0" w:color="auto"/>
            <w:left w:val="nil"/>
            <w:bottom w:val="nil"/>
            <w:right w:val="single" w:sz="4" w:space="0" w:color="auto"/>
          </w:tcBorders>
        </w:tcPr>
        <w:p w14:paraId="1A346B1B" w14:textId="77777777" w:rsidR="002D1918" w:rsidRDefault="002D1918" w:rsidP="002D1918">
          <w:pPr>
            <w:tabs>
              <w:tab w:val="center" w:pos="4153"/>
              <w:tab w:val="right" w:pos="8306"/>
            </w:tabs>
          </w:pPr>
        </w:p>
      </w:tc>
    </w:tr>
    <w:tr w:rsidR="002D1918" w14:paraId="3609212E" w14:textId="77777777" w:rsidTr="002D1918">
      <w:trPr>
        <w:trHeight w:val="1148"/>
      </w:trPr>
      <w:tc>
        <w:tcPr>
          <w:tcW w:w="3899" w:type="pct"/>
          <w:tcBorders>
            <w:top w:val="nil"/>
            <w:left w:val="single" w:sz="4" w:space="0" w:color="auto"/>
            <w:bottom w:val="single" w:sz="2" w:space="0" w:color="auto"/>
            <w:right w:val="nil"/>
          </w:tcBorders>
        </w:tcPr>
        <w:p w14:paraId="0B545E2A" w14:textId="77777777" w:rsidR="002D1918" w:rsidRDefault="002D1918" w:rsidP="002D1918">
          <w:pPr>
            <w:tabs>
              <w:tab w:val="center" w:pos="4153"/>
              <w:tab w:val="right" w:pos="8306"/>
            </w:tabs>
          </w:pPr>
        </w:p>
        <w:p w14:paraId="3EAD27A8" w14:textId="77777777" w:rsidR="002D1918" w:rsidRDefault="002D1918" w:rsidP="002D1918">
          <w:pPr>
            <w:tabs>
              <w:tab w:val="center" w:pos="4153"/>
              <w:tab w:val="right" w:pos="8306"/>
            </w:tabs>
          </w:pPr>
          <w:r>
            <w:t xml:space="preserve">Case Number: </w:t>
          </w:r>
        </w:p>
        <w:p w14:paraId="13D72CEE" w14:textId="77777777" w:rsidR="002D1918" w:rsidRDefault="002D1918" w:rsidP="002D1918">
          <w:pPr>
            <w:tabs>
              <w:tab w:val="center" w:pos="4153"/>
              <w:tab w:val="right" w:pos="8306"/>
            </w:tabs>
          </w:pPr>
        </w:p>
        <w:p w14:paraId="40E35238" w14:textId="77777777" w:rsidR="002D1918" w:rsidRDefault="002D1918" w:rsidP="002D1918">
          <w:pPr>
            <w:tabs>
              <w:tab w:val="center" w:pos="4153"/>
              <w:tab w:val="right" w:pos="8306"/>
            </w:tabs>
          </w:pPr>
          <w:r>
            <w:t>Date Filed:</w:t>
          </w:r>
        </w:p>
        <w:p w14:paraId="6BD60B2D" w14:textId="77777777" w:rsidR="002D1918" w:rsidRDefault="002D1918" w:rsidP="002D1918"/>
        <w:p w14:paraId="0D77BF94" w14:textId="77777777" w:rsidR="002D1918" w:rsidRDefault="002D1918" w:rsidP="002D1918">
          <w:pPr>
            <w:tabs>
              <w:tab w:val="center" w:pos="4153"/>
              <w:tab w:val="right" w:pos="8306"/>
            </w:tabs>
          </w:pPr>
          <w:r>
            <w:t>FDN:</w:t>
          </w:r>
        </w:p>
        <w:p w14:paraId="45FD388D" w14:textId="77777777" w:rsidR="002D1918" w:rsidRDefault="002D1918" w:rsidP="002D1918">
          <w:pPr>
            <w:tabs>
              <w:tab w:val="center" w:pos="4153"/>
              <w:tab w:val="right" w:pos="8306"/>
            </w:tabs>
          </w:pPr>
        </w:p>
        <w:p w14:paraId="1E6F645F" w14:textId="77777777" w:rsidR="002D1918" w:rsidRDefault="002D1918" w:rsidP="002D1918">
          <w:pPr>
            <w:tabs>
              <w:tab w:val="center" w:pos="4153"/>
              <w:tab w:val="right" w:pos="8306"/>
            </w:tabs>
          </w:pPr>
        </w:p>
      </w:tc>
      <w:tc>
        <w:tcPr>
          <w:tcW w:w="1101" w:type="pct"/>
          <w:tcBorders>
            <w:top w:val="nil"/>
            <w:left w:val="nil"/>
            <w:bottom w:val="single" w:sz="2" w:space="0" w:color="auto"/>
            <w:right w:val="single" w:sz="4" w:space="0" w:color="auto"/>
          </w:tcBorders>
        </w:tcPr>
        <w:p w14:paraId="326A609C" w14:textId="77777777" w:rsidR="002D1918" w:rsidRDefault="002D1918" w:rsidP="002D1918">
          <w:pPr>
            <w:tabs>
              <w:tab w:val="center" w:pos="4153"/>
              <w:tab w:val="right" w:pos="8306"/>
            </w:tabs>
          </w:pPr>
        </w:p>
      </w:tc>
    </w:tr>
  </w:tbl>
  <w:p w14:paraId="1EF4A2A9" w14:textId="77777777" w:rsidR="000E41C6" w:rsidRDefault="000E41C6"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F8C"/>
    <w:multiLevelType w:val="hybridMultilevel"/>
    <w:tmpl w:val="E1A065C0"/>
    <w:lvl w:ilvl="0" w:tplc="9B300098">
      <w:start w:val="1"/>
      <w:numFmt w:val="bullet"/>
      <w:lvlText w:val=""/>
      <w:lvlJc w:val="left"/>
      <w:pPr>
        <w:ind w:left="778" w:hanging="360"/>
      </w:pPr>
      <w:rPr>
        <w:rFonts w:ascii="Wingdings 2" w:hAnsi="Wingdings 2" w:hint="default"/>
        <w:color w:val="000000" w:themeColor="text1"/>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010308ED"/>
    <w:multiLevelType w:val="hybridMultilevel"/>
    <w:tmpl w:val="D780CB5E"/>
    <w:lvl w:ilvl="0" w:tplc="9B300098">
      <w:start w:val="1"/>
      <w:numFmt w:val="bullet"/>
      <w:lvlText w:val=""/>
      <w:lvlJc w:val="left"/>
      <w:pPr>
        <w:ind w:left="1080" w:hanging="360"/>
      </w:pPr>
      <w:rPr>
        <w:rFonts w:ascii="Wingdings 2" w:hAnsi="Wingdings 2" w:hint="default"/>
        <w:color w:val="000000" w:themeColor="text1"/>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4F2705C"/>
    <w:multiLevelType w:val="hybridMultilevel"/>
    <w:tmpl w:val="6D2A5AAE"/>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222ED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E65E9B"/>
    <w:multiLevelType w:val="hybridMultilevel"/>
    <w:tmpl w:val="76C28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637867"/>
    <w:multiLevelType w:val="hybridMultilevel"/>
    <w:tmpl w:val="67A464B8"/>
    <w:lvl w:ilvl="0" w:tplc="FA1232DC">
      <w:start w:val="1"/>
      <w:numFmt w:val="lowerLetter"/>
      <w:lvlText w:val="(%1)"/>
      <w:lvlJc w:val="left"/>
      <w:pPr>
        <w:ind w:left="360" w:hanging="360"/>
      </w:pPr>
      <w:rPr>
        <w:rFonts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97C50A7"/>
    <w:multiLevelType w:val="hybridMultilevel"/>
    <w:tmpl w:val="CDA0F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1147C0"/>
    <w:multiLevelType w:val="hybridMultilevel"/>
    <w:tmpl w:val="16CCDABA"/>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7F511A4"/>
    <w:multiLevelType w:val="hybridMultilevel"/>
    <w:tmpl w:val="8F1220D8"/>
    <w:lvl w:ilvl="0" w:tplc="5DF294C2">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55335F"/>
    <w:multiLevelType w:val="hybridMultilevel"/>
    <w:tmpl w:val="2326E128"/>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62236A9"/>
    <w:multiLevelType w:val="hybridMultilevel"/>
    <w:tmpl w:val="F00A2F0C"/>
    <w:lvl w:ilvl="0" w:tplc="FA1232DC">
      <w:start w:val="5"/>
      <w:numFmt w:val="lowerLetter"/>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9"/>
  </w:num>
  <w:num w:numId="5">
    <w:abstractNumId w:val="10"/>
  </w:num>
  <w:num w:numId="6">
    <w:abstractNumId w:val="6"/>
  </w:num>
  <w:num w:numId="7">
    <w:abstractNumId w:val="3"/>
  </w:num>
  <w:num w:numId="8">
    <w:abstractNumId w:val="2"/>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613B48-9D83-4229-8CB0-FCA4E1457ADC}"/>
    <w:docVar w:name="dgnword-eventsink" w:val="904149856"/>
  </w:docVars>
  <w:rsids>
    <w:rsidRoot w:val="00545935"/>
    <w:rsid w:val="00024CE4"/>
    <w:rsid w:val="000267E0"/>
    <w:rsid w:val="000414DE"/>
    <w:rsid w:val="0006561C"/>
    <w:rsid w:val="00073ED0"/>
    <w:rsid w:val="0008390B"/>
    <w:rsid w:val="000B088F"/>
    <w:rsid w:val="000B2FFA"/>
    <w:rsid w:val="000D045D"/>
    <w:rsid w:val="000E41C6"/>
    <w:rsid w:val="0016158B"/>
    <w:rsid w:val="001730B3"/>
    <w:rsid w:val="00173506"/>
    <w:rsid w:val="001915B0"/>
    <w:rsid w:val="0019391D"/>
    <w:rsid w:val="00196426"/>
    <w:rsid w:val="001C4EF4"/>
    <w:rsid w:val="00202683"/>
    <w:rsid w:val="00252051"/>
    <w:rsid w:val="002528B4"/>
    <w:rsid w:val="00295660"/>
    <w:rsid w:val="002C6F55"/>
    <w:rsid w:val="002D1918"/>
    <w:rsid w:val="002E6591"/>
    <w:rsid w:val="00310649"/>
    <w:rsid w:val="00314E40"/>
    <w:rsid w:val="00317227"/>
    <w:rsid w:val="003210AD"/>
    <w:rsid w:val="00345B11"/>
    <w:rsid w:val="003637A7"/>
    <w:rsid w:val="003643EC"/>
    <w:rsid w:val="003B7563"/>
    <w:rsid w:val="003C0C05"/>
    <w:rsid w:val="003D011A"/>
    <w:rsid w:val="003F199B"/>
    <w:rsid w:val="0040414B"/>
    <w:rsid w:val="00405F34"/>
    <w:rsid w:val="004224E6"/>
    <w:rsid w:val="00430F9B"/>
    <w:rsid w:val="00443536"/>
    <w:rsid w:val="00453238"/>
    <w:rsid w:val="00497BAB"/>
    <w:rsid w:val="004C5B30"/>
    <w:rsid w:val="004E4778"/>
    <w:rsid w:val="004E5BAC"/>
    <w:rsid w:val="004E6630"/>
    <w:rsid w:val="004E6D65"/>
    <w:rsid w:val="004F3986"/>
    <w:rsid w:val="00502077"/>
    <w:rsid w:val="0053766F"/>
    <w:rsid w:val="00545935"/>
    <w:rsid w:val="00593AB4"/>
    <w:rsid w:val="005A556C"/>
    <w:rsid w:val="005C137C"/>
    <w:rsid w:val="005C3537"/>
    <w:rsid w:val="005D2A73"/>
    <w:rsid w:val="006220DB"/>
    <w:rsid w:val="00637720"/>
    <w:rsid w:val="006765F7"/>
    <w:rsid w:val="0068190B"/>
    <w:rsid w:val="006A396B"/>
    <w:rsid w:val="006C23B3"/>
    <w:rsid w:val="00706193"/>
    <w:rsid w:val="0074374F"/>
    <w:rsid w:val="00757228"/>
    <w:rsid w:val="007623AE"/>
    <w:rsid w:val="00791027"/>
    <w:rsid w:val="007C3DAF"/>
    <w:rsid w:val="007F32AB"/>
    <w:rsid w:val="007F6E94"/>
    <w:rsid w:val="00820D91"/>
    <w:rsid w:val="0084031F"/>
    <w:rsid w:val="008A6D74"/>
    <w:rsid w:val="008C6D60"/>
    <w:rsid w:val="008D3097"/>
    <w:rsid w:val="008F3954"/>
    <w:rsid w:val="00901E7C"/>
    <w:rsid w:val="00913E9F"/>
    <w:rsid w:val="009157D0"/>
    <w:rsid w:val="00933AFB"/>
    <w:rsid w:val="00986BD7"/>
    <w:rsid w:val="009C4DB2"/>
    <w:rsid w:val="009F207F"/>
    <w:rsid w:val="00A00A6F"/>
    <w:rsid w:val="00A41A26"/>
    <w:rsid w:val="00A43061"/>
    <w:rsid w:val="00A4450B"/>
    <w:rsid w:val="00A476B3"/>
    <w:rsid w:val="00A6483F"/>
    <w:rsid w:val="00A77DCE"/>
    <w:rsid w:val="00A96F25"/>
    <w:rsid w:val="00AC6D34"/>
    <w:rsid w:val="00AD1719"/>
    <w:rsid w:val="00AE5CEE"/>
    <w:rsid w:val="00AE7B6B"/>
    <w:rsid w:val="00B406F0"/>
    <w:rsid w:val="00B459F1"/>
    <w:rsid w:val="00B76F8B"/>
    <w:rsid w:val="00BA4779"/>
    <w:rsid w:val="00BB2C1E"/>
    <w:rsid w:val="00C656E5"/>
    <w:rsid w:val="00C703AE"/>
    <w:rsid w:val="00CC1197"/>
    <w:rsid w:val="00CE447A"/>
    <w:rsid w:val="00D40267"/>
    <w:rsid w:val="00D45C01"/>
    <w:rsid w:val="00D62C9B"/>
    <w:rsid w:val="00D67E2B"/>
    <w:rsid w:val="00D70E27"/>
    <w:rsid w:val="00D767E0"/>
    <w:rsid w:val="00DA4B5A"/>
    <w:rsid w:val="00DB167C"/>
    <w:rsid w:val="00DD68D4"/>
    <w:rsid w:val="00E304A0"/>
    <w:rsid w:val="00E81B76"/>
    <w:rsid w:val="00E87884"/>
    <w:rsid w:val="00E9004C"/>
    <w:rsid w:val="00E95F69"/>
    <w:rsid w:val="00ED5512"/>
    <w:rsid w:val="00EF6C80"/>
    <w:rsid w:val="00F13B48"/>
    <w:rsid w:val="00F705D2"/>
    <w:rsid w:val="00F8470A"/>
    <w:rsid w:val="00F87A4B"/>
    <w:rsid w:val="00FB0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96213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93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5935"/>
    <w:pPr>
      <w:tabs>
        <w:tab w:val="center" w:pos="4153"/>
        <w:tab w:val="right" w:pos="8306"/>
      </w:tabs>
    </w:pPr>
  </w:style>
  <w:style w:type="character" w:customStyle="1" w:styleId="FooterChar">
    <w:name w:val="Footer Char"/>
    <w:basedOn w:val="DefaultParagraphFont"/>
    <w:link w:val="Footer"/>
    <w:uiPriority w:val="99"/>
    <w:rsid w:val="00545935"/>
    <w:rPr>
      <w:rFonts w:ascii="Arial" w:eastAsia="Times New Roman" w:hAnsi="Arial" w:cs="Times New Roman"/>
      <w:sz w:val="20"/>
      <w:szCs w:val="20"/>
    </w:rPr>
  </w:style>
  <w:style w:type="paragraph" w:styleId="Header">
    <w:name w:val="header"/>
    <w:basedOn w:val="Normal"/>
    <w:link w:val="HeaderChar"/>
    <w:uiPriority w:val="99"/>
    <w:rsid w:val="00545935"/>
    <w:pPr>
      <w:tabs>
        <w:tab w:val="center" w:pos="4153"/>
        <w:tab w:val="right" w:pos="8306"/>
      </w:tabs>
    </w:pPr>
  </w:style>
  <w:style w:type="character" w:customStyle="1" w:styleId="HeaderChar">
    <w:name w:val="Header Char"/>
    <w:basedOn w:val="DefaultParagraphFont"/>
    <w:link w:val="Header"/>
    <w:uiPriority w:val="99"/>
    <w:rsid w:val="00545935"/>
    <w:rPr>
      <w:rFonts w:ascii="Arial" w:eastAsia="Times New Roman" w:hAnsi="Arial" w:cs="Times New Roman"/>
      <w:sz w:val="20"/>
      <w:szCs w:val="20"/>
    </w:rPr>
  </w:style>
  <w:style w:type="table" w:styleId="TableGrid">
    <w:name w:val="Table Grid"/>
    <w:basedOn w:val="TableNormal"/>
    <w:uiPriority w:val="59"/>
    <w:rsid w:val="0054593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6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591"/>
    <w:rPr>
      <w:rFonts w:ascii="Segoe UI" w:eastAsia="Times New Roman" w:hAnsi="Segoe UI" w:cs="Segoe UI"/>
      <w:sz w:val="18"/>
      <w:szCs w:val="18"/>
    </w:rPr>
  </w:style>
  <w:style w:type="table" w:customStyle="1" w:styleId="TableGrid1">
    <w:name w:val="Table Grid1"/>
    <w:basedOn w:val="TableNormal"/>
    <w:next w:val="TableGrid"/>
    <w:uiPriority w:val="59"/>
    <w:rsid w:val="00CE447A"/>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4792">
      <w:bodyDiv w:val="1"/>
      <w:marLeft w:val="0"/>
      <w:marRight w:val="0"/>
      <w:marTop w:val="0"/>
      <w:marBottom w:val="0"/>
      <w:divBdr>
        <w:top w:val="none" w:sz="0" w:space="0" w:color="auto"/>
        <w:left w:val="none" w:sz="0" w:space="0" w:color="auto"/>
        <w:bottom w:val="none" w:sz="0" w:space="0" w:color="auto"/>
        <w:right w:val="none" w:sz="0" w:space="0" w:color="auto"/>
      </w:divBdr>
    </w:div>
    <w:div w:id="506362838">
      <w:bodyDiv w:val="1"/>
      <w:marLeft w:val="0"/>
      <w:marRight w:val="0"/>
      <w:marTop w:val="0"/>
      <w:marBottom w:val="0"/>
      <w:divBdr>
        <w:top w:val="none" w:sz="0" w:space="0" w:color="auto"/>
        <w:left w:val="none" w:sz="0" w:space="0" w:color="auto"/>
        <w:bottom w:val="none" w:sz="0" w:space="0" w:color="auto"/>
        <w:right w:val="none" w:sz="0" w:space="0" w:color="auto"/>
      </w:divBdr>
    </w:div>
    <w:div w:id="614403973">
      <w:bodyDiv w:val="1"/>
      <w:marLeft w:val="0"/>
      <w:marRight w:val="0"/>
      <w:marTop w:val="0"/>
      <w:marBottom w:val="0"/>
      <w:divBdr>
        <w:top w:val="none" w:sz="0" w:space="0" w:color="auto"/>
        <w:left w:val="none" w:sz="0" w:space="0" w:color="auto"/>
        <w:bottom w:val="none" w:sz="0" w:space="0" w:color="auto"/>
        <w:right w:val="none" w:sz="0" w:space="0" w:color="auto"/>
      </w:divBdr>
    </w:div>
    <w:div w:id="737676428">
      <w:bodyDiv w:val="1"/>
      <w:marLeft w:val="0"/>
      <w:marRight w:val="0"/>
      <w:marTop w:val="0"/>
      <w:marBottom w:val="0"/>
      <w:divBdr>
        <w:top w:val="none" w:sz="0" w:space="0" w:color="auto"/>
        <w:left w:val="none" w:sz="0" w:space="0" w:color="auto"/>
        <w:bottom w:val="none" w:sz="0" w:space="0" w:color="auto"/>
        <w:right w:val="none" w:sz="0" w:space="0" w:color="auto"/>
      </w:divBdr>
    </w:div>
    <w:div w:id="775754574">
      <w:bodyDiv w:val="1"/>
      <w:marLeft w:val="0"/>
      <w:marRight w:val="0"/>
      <w:marTop w:val="0"/>
      <w:marBottom w:val="0"/>
      <w:divBdr>
        <w:top w:val="none" w:sz="0" w:space="0" w:color="auto"/>
        <w:left w:val="none" w:sz="0" w:space="0" w:color="auto"/>
        <w:bottom w:val="none" w:sz="0" w:space="0" w:color="auto"/>
        <w:right w:val="none" w:sz="0" w:space="0" w:color="auto"/>
      </w:divBdr>
    </w:div>
    <w:div w:id="829637554">
      <w:bodyDiv w:val="1"/>
      <w:marLeft w:val="0"/>
      <w:marRight w:val="0"/>
      <w:marTop w:val="0"/>
      <w:marBottom w:val="0"/>
      <w:divBdr>
        <w:top w:val="none" w:sz="0" w:space="0" w:color="auto"/>
        <w:left w:val="none" w:sz="0" w:space="0" w:color="auto"/>
        <w:bottom w:val="none" w:sz="0" w:space="0" w:color="auto"/>
        <w:right w:val="none" w:sz="0" w:space="0" w:color="auto"/>
      </w:divBdr>
    </w:div>
    <w:div w:id="857281590">
      <w:bodyDiv w:val="1"/>
      <w:marLeft w:val="0"/>
      <w:marRight w:val="0"/>
      <w:marTop w:val="0"/>
      <w:marBottom w:val="0"/>
      <w:divBdr>
        <w:top w:val="none" w:sz="0" w:space="0" w:color="auto"/>
        <w:left w:val="none" w:sz="0" w:space="0" w:color="auto"/>
        <w:bottom w:val="none" w:sz="0" w:space="0" w:color="auto"/>
        <w:right w:val="none" w:sz="0" w:space="0" w:color="auto"/>
      </w:divBdr>
    </w:div>
    <w:div w:id="1232427249">
      <w:bodyDiv w:val="1"/>
      <w:marLeft w:val="0"/>
      <w:marRight w:val="0"/>
      <w:marTop w:val="0"/>
      <w:marBottom w:val="0"/>
      <w:divBdr>
        <w:top w:val="none" w:sz="0" w:space="0" w:color="auto"/>
        <w:left w:val="none" w:sz="0" w:space="0" w:color="auto"/>
        <w:bottom w:val="none" w:sz="0" w:space="0" w:color="auto"/>
        <w:right w:val="none" w:sz="0" w:space="0" w:color="auto"/>
      </w:divBdr>
    </w:div>
    <w:div w:id="1335839213">
      <w:bodyDiv w:val="1"/>
      <w:marLeft w:val="0"/>
      <w:marRight w:val="0"/>
      <w:marTop w:val="0"/>
      <w:marBottom w:val="0"/>
      <w:divBdr>
        <w:top w:val="none" w:sz="0" w:space="0" w:color="auto"/>
        <w:left w:val="none" w:sz="0" w:space="0" w:color="auto"/>
        <w:bottom w:val="none" w:sz="0" w:space="0" w:color="auto"/>
        <w:right w:val="none" w:sz="0" w:space="0" w:color="auto"/>
      </w:divBdr>
    </w:div>
    <w:div w:id="1338652078">
      <w:bodyDiv w:val="1"/>
      <w:marLeft w:val="0"/>
      <w:marRight w:val="0"/>
      <w:marTop w:val="0"/>
      <w:marBottom w:val="0"/>
      <w:divBdr>
        <w:top w:val="none" w:sz="0" w:space="0" w:color="auto"/>
        <w:left w:val="none" w:sz="0" w:space="0" w:color="auto"/>
        <w:bottom w:val="none" w:sz="0" w:space="0" w:color="auto"/>
        <w:right w:val="none" w:sz="0" w:space="0" w:color="auto"/>
      </w:divBdr>
    </w:div>
    <w:div w:id="1485008946">
      <w:bodyDiv w:val="1"/>
      <w:marLeft w:val="0"/>
      <w:marRight w:val="0"/>
      <w:marTop w:val="0"/>
      <w:marBottom w:val="0"/>
      <w:divBdr>
        <w:top w:val="none" w:sz="0" w:space="0" w:color="auto"/>
        <w:left w:val="none" w:sz="0" w:space="0" w:color="auto"/>
        <w:bottom w:val="none" w:sz="0" w:space="0" w:color="auto"/>
        <w:right w:val="none" w:sz="0" w:space="0" w:color="auto"/>
      </w:divBdr>
    </w:div>
    <w:div w:id="1516268794">
      <w:bodyDiv w:val="1"/>
      <w:marLeft w:val="0"/>
      <w:marRight w:val="0"/>
      <w:marTop w:val="0"/>
      <w:marBottom w:val="0"/>
      <w:divBdr>
        <w:top w:val="none" w:sz="0" w:space="0" w:color="auto"/>
        <w:left w:val="none" w:sz="0" w:space="0" w:color="auto"/>
        <w:bottom w:val="none" w:sz="0" w:space="0" w:color="auto"/>
        <w:right w:val="none" w:sz="0" w:space="0" w:color="auto"/>
      </w:divBdr>
    </w:div>
    <w:div w:id="1716081794">
      <w:bodyDiv w:val="1"/>
      <w:marLeft w:val="0"/>
      <w:marRight w:val="0"/>
      <w:marTop w:val="0"/>
      <w:marBottom w:val="0"/>
      <w:divBdr>
        <w:top w:val="none" w:sz="0" w:space="0" w:color="auto"/>
        <w:left w:val="none" w:sz="0" w:space="0" w:color="auto"/>
        <w:bottom w:val="none" w:sz="0" w:space="0" w:color="auto"/>
        <w:right w:val="none" w:sz="0" w:space="0" w:color="auto"/>
      </w:divBdr>
    </w:div>
    <w:div w:id="1818377763">
      <w:bodyDiv w:val="1"/>
      <w:marLeft w:val="0"/>
      <w:marRight w:val="0"/>
      <w:marTop w:val="0"/>
      <w:marBottom w:val="0"/>
      <w:divBdr>
        <w:top w:val="none" w:sz="0" w:space="0" w:color="auto"/>
        <w:left w:val="none" w:sz="0" w:space="0" w:color="auto"/>
        <w:bottom w:val="none" w:sz="0" w:space="0" w:color="auto"/>
        <w:right w:val="none" w:sz="0" w:space="0" w:color="auto"/>
      </w:divBdr>
    </w:div>
    <w:div w:id="2023244275">
      <w:bodyDiv w:val="1"/>
      <w:marLeft w:val="0"/>
      <w:marRight w:val="0"/>
      <w:marTop w:val="0"/>
      <w:marBottom w:val="0"/>
      <w:divBdr>
        <w:top w:val="none" w:sz="0" w:space="0" w:color="auto"/>
        <w:left w:val="none" w:sz="0" w:space="0" w:color="auto"/>
        <w:bottom w:val="none" w:sz="0" w:space="0" w:color="auto"/>
        <w:right w:val="none" w:sz="0" w:space="0" w:color="auto"/>
      </w:divBdr>
    </w:div>
    <w:div w:id="213726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92E Order - Asset Confiscation Production Order</dc:title>
  <dc:subject/>
  <dc:creator>Courts Administration Authority</dc:creator>
  <cp:keywords>Forms; Special</cp:keywords>
  <dc:description/>
  <cp:lastModifiedBy/>
  <cp:revision>1</cp:revision>
  <dcterms:created xsi:type="dcterms:W3CDTF">2020-11-17T00:56:00Z</dcterms:created>
  <dcterms:modified xsi:type="dcterms:W3CDTF">2022-08-12T05:16:00Z</dcterms:modified>
</cp:coreProperties>
</file>